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377B" w14:textId="04F48F82" w:rsidR="00F26416" w:rsidRPr="00FE7A02" w:rsidRDefault="00F26416" w:rsidP="00F26416">
      <w:pPr>
        <w:spacing w:after="160" w:line="256" w:lineRule="auto"/>
        <w:jc w:val="center"/>
        <w:rPr>
          <w:rFonts w:cs="Calibri"/>
          <w:b/>
          <w:bCs/>
          <w:sz w:val="24"/>
          <w:szCs w:val="24"/>
        </w:rPr>
      </w:pPr>
      <w:r>
        <w:rPr>
          <w:rFonts w:cs="Calibri"/>
          <w:b/>
          <w:bCs/>
          <w:sz w:val="24"/>
          <w:szCs w:val="24"/>
        </w:rPr>
        <w:t xml:space="preserve">0225 EIR – Scottish Water - </w:t>
      </w:r>
      <w:r w:rsidRPr="00FE7A02">
        <w:rPr>
          <w:rFonts w:cs="Calibri"/>
          <w:b/>
          <w:bCs/>
          <w:sz w:val="24"/>
          <w:szCs w:val="24"/>
        </w:rPr>
        <w:t>Annex</w:t>
      </w:r>
    </w:p>
    <w:p w14:paraId="6EFB4D69" w14:textId="77777777" w:rsidR="00F26416" w:rsidRPr="00FE7A02" w:rsidRDefault="00F26416" w:rsidP="00F26416">
      <w:pPr>
        <w:jc w:val="center"/>
        <w:rPr>
          <w:rFonts w:cs="Calibri"/>
          <w:b/>
          <w:bCs/>
          <w:sz w:val="24"/>
          <w:szCs w:val="24"/>
        </w:rPr>
      </w:pPr>
    </w:p>
    <w:p w14:paraId="39D5AC48" w14:textId="77777777" w:rsidR="00F26416" w:rsidRPr="00FE7A02" w:rsidRDefault="00F26416" w:rsidP="00F26416">
      <w:pPr>
        <w:jc w:val="both"/>
        <w:rPr>
          <w:rFonts w:cs="Calibri"/>
          <w:sz w:val="24"/>
          <w:szCs w:val="24"/>
        </w:rPr>
      </w:pPr>
      <w:r w:rsidRPr="00FE7A02">
        <w:rPr>
          <w:rFonts w:cs="Calibri"/>
          <w:sz w:val="24"/>
          <w:szCs w:val="24"/>
        </w:rPr>
        <w:t>Abbreviations used in this Annex:</w:t>
      </w:r>
    </w:p>
    <w:p w14:paraId="553F18CD" w14:textId="77777777" w:rsidR="00F26416" w:rsidRPr="00FE7A02" w:rsidRDefault="00F26416" w:rsidP="00F26416">
      <w:pPr>
        <w:jc w:val="both"/>
        <w:rPr>
          <w:rFonts w:cs="Calibri"/>
          <w:b/>
          <w:bCs/>
          <w:sz w:val="24"/>
          <w:szCs w:val="24"/>
        </w:rPr>
      </w:pPr>
    </w:p>
    <w:p w14:paraId="70A757B9" w14:textId="77777777" w:rsidR="00F26416" w:rsidRPr="00FE7A02" w:rsidRDefault="00F26416" w:rsidP="00F26416">
      <w:pPr>
        <w:pStyle w:val="ListParagraph"/>
        <w:numPr>
          <w:ilvl w:val="0"/>
          <w:numId w:val="1"/>
        </w:numPr>
        <w:ind w:left="360"/>
        <w:jc w:val="both"/>
        <w:rPr>
          <w:rFonts w:cs="Calibri"/>
          <w:sz w:val="24"/>
          <w:szCs w:val="24"/>
        </w:rPr>
      </w:pPr>
      <w:r w:rsidRPr="00FE7A02">
        <w:rPr>
          <w:rFonts w:cs="Calibri"/>
          <w:sz w:val="24"/>
          <w:szCs w:val="24"/>
        </w:rPr>
        <w:t>“EISRs” means the Environmental Information (Scotland) Regulations 2004.</w:t>
      </w:r>
    </w:p>
    <w:p w14:paraId="5EDD3995" w14:textId="77777777" w:rsidR="00F26416" w:rsidRPr="00FE7A02" w:rsidRDefault="00F26416" w:rsidP="00F26416">
      <w:pPr>
        <w:jc w:val="both"/>
        <w:rPr>
          <w:rFonts w:cs="Calibri"/>
          <w:sz w:val="24"/>
          <w:szCs w:val="24"/>
        </w:rPr>
      </w:pPr>
    </w:p>
    <w:p w14:paraId="67F70030" w14:textId="77777777" w:rsidR="00F26416" w:rsidRPr="00FE7A02" w:rsidRDefault="00F26416" w:rsidP="00F26416">
      <w:pPr>
        <w:pStyle w:val="ListParagraph"/>
        <w:numPr>
          <w:ilvl w:val="0"/>
          <w:numId w:val="1"/>
        </w:numPr>
        <w:ind w:left="360"/>
        <w:jc w:val="both"/>
        <w:rPr>
          <w:rFonts w:cs="Calibri"/>
          <w:sz w:val="24"/>
          <w:szCs w:val="24"/>
        </w:rPr>
      </w:pPr>
      <w:r w:rsidRPr="00FE7A02">
        <w:rPr>
          <w:rFonts w:cs="Calibri"/>
          <w:sz w:val="24"/>
          <w:szCs w:val="24"/>
        </w:rPr>
        <w:t>“FOISA” means the Freedom of Information (Scotland) Act 2002.</w:t>
      </w:r>
    </w:p>
    <w:p w14:paraId="09CF2355" w14:textId="77777777" w:rsidR="00F26416" w:rsidRPr="00FE7A02" w:rsidRDefault="00F26416" w:rsidP="00F26416">
      <w:pPr>
        <w:jc w:val="both"/>
        <w:rPr>
          <w:rFonts w:cs="Calibri"/>
          <w:b/>
          <w:bCs/>
          <w:sz w:val="24"/>
          <w:szCs w:val="24"/>
        </w:rPr>
      </w:pPr>
    </w:p>
    <w:p w14:paraId="6A8B2AF3" w14:textId="77777777" w:rsidR="00F26416" w:rsidRPr="00FE7A02" w:rsidRDefault="00F26416" w:rsidP="00F26416">
      <w:pPr>
        <w:jc w:val="both"/>
        <w:rPr>
          <w:rFonts w:cs="Calibri"/>
          <w:b/>
          <w:bCs/>
          <w:sz w:val="24"/>
          <w:szCs w:val="24"/>
        </w:rPr>
      </w:pPr>
      <w:r w:rsidRPr="00FE7A02">
        <w:rPr>
          <w:rFonts w:cs="Calibri"/>
          <w:b/>
          <w:bCs/>
          <w:sz w:val="24"/>
          <w:szCs w:val="24"/>
        </w:rPr>
        <w:t>What are the EISRs?</w:t>
      </w:r>
    </w:p>
    <w:p w14:paraId="77FB9985" w14:textId="77777777" w:rsidR="00F26416" w:rsidRPr="00FE7A02" w:rsidRDefault="00F26416" w:rsidP="00F26416">
      <w:pPr>
        <w:jc w:val="both"/>
        <w:rPr>
          <w:rFonts w:cs="Calibri"/>
          <w:sz w:val="24"/>
          <w:szCs w:val="24"/>
        </w:rPr>
      </w:pPr>
    </w:p>
    <w:p w14:paraId="0A3D7D14" w14:textId="77777777" w:rsidR="00F26416" w:rsidRPr="00FE7A02" w:rsidRDefault="00F26416" w:rsidP="00F26416">
      <w:pPr>
        <w:rPr>
          <w:rFonts w:cs="Calibri"/>
          <w:sz w:val="24"/>
          <w:szCs w:val="24"/>
        </w:rPr>
      </w:pPr>
      <w:r w:rsidRPr="00FE7A02">
        <w:rPr>
          <w:rFonts w:cs="Calibri"/>
          <w:sz w:val="24"/>
          <w:szCs w:val="24"/>
        </w:rPr>
        <w:t xml:space="preserve">The EISRs provide for a right of access to environmental information held by Scottish public authorities.  We, as a Scottish public authority for the purposes of FOISA, are also a Scottish public authority under the EISRs.  </w:t>
      </w:r>
    </w:p>
    <w:p w14:paraId="73F4222F" w14:textId="77777777" w:rsidR="00F26416" w:rsidRPr="00FE7A02" w:rsidRDefault="00F26416" w:rsidP="00F26416">
      <w:pPr>
        <w:jc w:val="both"/>
        <w:rPr>
          <w:rFonts w:cs="Calibri"/>
          <w:sz w:val="24"/>
          <w:szCs w:val="24"/>
        </w:rPr>
      </w:pPr>
    </w:p>
    <w:p w14:paraId="77D04E92" w14:textId="77777777" w:rsidR="00F26416" w:rsidRPr="00FE7A02" w:rsidRDefault="00F26416" w:rsidP="00F26416">
      <w:pPr>
        <w:jc w:val="both"/>
        <w:rPr>
          <w:rFonts w:cs="Calibri"/>
          <w:b/>
          <w:bCs/>
          <w:sz w:val="24"/>
          <w:szCs w:val="24"/>
        </w:rPr>
      </w:pPr>
      <w:r w:rsidRPr="00FE7A02">
        <w:rPr>
          <w:rFonts w:cs="Calibri"/>
          <w:b/>
          <w:bCs/>
          <w:sz w:val="24"/>
          <w:szCs w:val="24"/>
        </w:rPr>
        <w:t>Why has my request been handled under the EISRs?</w:t>
      </w:r>
    </w:p>
    <w:p w14:paraId="0D632DA7" w14:textId="77777777" w:rsidR="00F26416" w:rsidRPr="00FE7A02" w:rsidRDefault="00F26416" w:rsidP="00F26416">
      <w:pPr>
        <w:jc w:val="both"/>
        <w:rPr>
          <w:rFonts w:cs="Calibri"/>
          <w:sz w:val="22"/>
          <w:szCs w:val="22"/>
        </w:rPr>
      </w:pPr>
    </w:p>
    <w:p w14:paraId="30DB27D3" w14:textId="77777777" w:rsidR="00F26416" w:rsidRPr="00FE7A02" w:rsidRDefault="00F26416" w:rsidP="00F26416">
      <w:pPr>
        <w:rPr>
          <w:rFonts w:cs="Calibri"/>
          <w:sz w:val="24"/>
          <w:szCs w:val="24"/>
        </w:rPr>
      </w:pPr>
      <w:r w:rsidRPr="00FE7A02">
        <w:rPr>
          <w:rFonts w:cs="Calibri"/>
          <w:sz w:val="24"/>
          <w:szCs w:val="24"/>
        </w:rPr>
        <w:t xml:space="preserve">The information covered by the request falls within the definition of “environmental information” contained in Regulation 2(1) of the EISRs.  </w:t>
      </w:r>
    </w:p>
    <w:p w14:paraId="6293A06B" w14:textId="77777777" w:rsidR="00F26416" w:rsidRPr="00FE7A02" w:rsidRDefault="00F26416" w:rsidP="00F26416">
      <w:pPr>
        <w:rPr>
          <w:rFonts w:cs="Calibri"/>
          <w:sz w:val="24"/>
          <w:szCs w:val="24"/>
        </w:rPr>
      </w:pPr>
    </w:p>
    <w:p w14:paraId="547E0FBF" w14:textId="77777777" w:rsidR="00F26416" w:rsidRPr="00FE7A02" w:rsidRDefault="00F26416" w:rsidP="00F26416">
      <w:pPr>
        <w:rPr>
          <w:rFonts w:cs="Calibri"/>
          <w:sz w:val="24"/>
          <w:szCs w:val="24"/>
        </w:rPr>
      </w:pPr>
      <w:r w:rsidRPr="00FE7A02">
        <w:rPr>
          <w:rFonts w:cs="Calibri"/>
          <w:sz w:val="24"/>
          <w:szCs w:val="24"/>
        </w:rPr>
        <w:t>This provides that environmental information is information in any form about (among other things):</w:t>
      </w:r>
    </w:p>
    <w:p w14:paraId="032EFB4A" w14:textId="77777777" w:rsidR="00F26416" w:rsidRPr="00FE7A02" w:rsidRDefault="00F26416" w:rsidP="00F26416">
      <w:pPr>
        <w:rPr>
          <w:rFonts w:cs="Calibri"/>
          <w:sz w:val="24"/>
          <w:szCs w:val="24"/>
        </w:rPr>
      </w:pPr>
    </w:p>
    <w:p w14:paraId="3C6B04C0" w14:textId="77777777" w:rsidR="00F26416" w:rsidRPr="00FE7A02" w:rsidRDefault="00F26416" w:rsidP="00F26416">
      <w:pPr>
        <w:pStyle w:val="ListParagraph"/>
        <w:numPr>
          <w:ilvl w:val="0"/>
          <w:numId w:val="2"/>
        </w:numPr>
        <w:jc w:val="both"/>
        <w:rPr>
          <w:rFonts w:cs="Calibri"/>
          <w:sz w:val="24"/>
          <w:szCs w:val="24"/>
        </w:rPr>
      </w:pPr>
      <w:r w:rsidRPr="00FE7A02">
        <w:rPr>
          <w:rFonts w:cs="Calibri"/>
          <w:sz w:val="24"/>
          <w:szCs w:val="24"/>
        </w:rPr>
        <w:t xml:space="preserve">the state of the elements of the environment, such as air and atmosphere, water, soil, land and landscape; </w:t>
      </w:r>
    </w:p>
    <w:p w14:paraId="70A1FC70" w14:textId="77777777" w:rsidR="00F26416" w:rsidRPr="00FE7A02" w:rsidRDefault="00F26416" w:rsidP="00F26416">
      <w:pPr>
        <w:pStyle w:val="ListParagraph"/>
        <w:numPr>
          <w:ilvl w:val="0"/>
          <w:numId w:val="2"/>
        </w:numPr>
        <w:jc w:val="both"/>
        <w:rPr>
          <w:rFonts w:cs="Calibri"/>
          <w:sz w:val="24"/>
          <w:szCs w:val="24"/>
        </w:rPr>
      </w:pPr>
      <w:r w:rsidRPr="00FE7A02">
        <w:rPr>
          <w:rFonts w:cs="Calibri"/>
          <w:sz w:val="24"/>
          <w:szCs w:val="24"/>
        </w:rPr>
        <w:t>factors, including energy, emissions, discharges and other releases into the environment, affecting or likely to affect the said elements; and</w:t>
      </w:r>
    </w:p>
    <w:p w14:paraId="115E387F" w14:textId="77777777" w:rsidR="00F26416" w:rsidRPr="00FE7A02" w:rsidRDefault="00F26416" w:rsidP="00F26416">
      <w:pPr>
        <w:pStyle w:val="ListParagraph"/>
        <w:numPr>
          <w:ilvl w:val="0"/>
          <w:numId w:val="2"/>
        </w:numPr>
        <w:jc w:val="both"/>
        <w:rPr>
          <w:rFonts w:cs="Calibri"/>
          <w:sz w:val="24"/>
          <w:szCs w:val="24"/>
        </w:rPr>
      </w:pPr>
      <w:r w:rsidRPr="00FE7A02">
        <w:rPr>
          <w:rFonts w:cs="Calibri"/>
          <w:sz w:val="24"/>
          <w:szCs w:val="24"/>
        </w:rPr>
        <w:t xml:space="preserve">measures, including policies, legislation, plans, programmes and activities, affecting or likely to affect the said elements.  </w:t>
      </w:r>
    </w:p>
    <w:p w14:paraId="66AA1183" w14:textId="77777777" w:rsidR="00F26416" w:rsidRPr="00FE7A02" w:rsidRDefault="00F26416" w:rsidP="00F26416">
      <w:pPr>
        <w:rPr>
          <w:rFonts w:cs="Calibri"/>
          <w:sz w:val="24"/>
          <w:szCs w:val="24"/>
        </w:rPr>
      </w:pPr>
    </w:p>
    <w:p w14:paraId="256EC354" w14:textId="77777777" w:rsidR="00F26416" w:rsidRPr="00FE7A02" w:rsidRDefault="00F26416" w:rsidP="00F26416">
      <w:pPr>
        <w:rPr>
          <w:rFonts w:cs="Calibri"/>
          <w:sz w:val="24"/>
          <w:szCs w:val="24"/>
        </w:rPr>
      </w:pPr>
      <w:r w:rsidRPr="00FE7A02">
        <w:rPr>
          <w:rFonts w:cs="Calibri"/>
          <w:sz w:val="24"/>
          <w:szCs w:val="24"/>
        </w:rPr>
        <w:t xml:space="preserve">Water is an element of the environment and property is built on land, which is also an element of the environment.  The charging arrangements for the supply of water and the collection of waste water from a property are measures that affect such elements of the environment.  </w:t>
      </w:r>
    </w:p>
    <w:p w14:paraId="25484735" w14:textId="77777777" w:rsidR="00F26416" w:rsidRPr="00FE7A02" w:rsidRDefault="00F26416" w:rsidP="00F26416">
      <w:pPr>
        <w:rPr>
          <w:rFonts w:cs="Calibri"/>
          <w:sz w:val="24"/>
          <w:szCs w:val="24"/>
        </w:rPr>
      </w:pPr>
    </w:p>
    <w:p w14:paraId="60E07FFD" w14:textId="77777777" w:rsidR="00F26416" w:rsidRPr="00FE7A02" w:rsidRDefault="00F26416" w:rsidP="00F26416">
      <w:pPr>
        <w:rPr>
          <w:rFonts w:cs="Calibri"/>
          <w:b/>
          <w:bCs/>
          <w:sz w:val="24"/>
          <w:szCs w:val="24"/>
        </w:rPr>
      </w:pPr>
      <w:r w:rsidRPr="00FE7A02">
        <w:rPr>
          <w:rFonts w:cs="Calibri"/>
          <w:b/>
          <w:bCs/>
          <w:sz w:val="24"/>
          <w:szCs w:val="24"/>
        </w:rPr>
        <w:t>Why was the information I requested not disclosed to me?</w:t>
      </w:r>
    </w:p>
    <w:p w14:paraId="1F9AEE8B" w14:textId="77777777" w:rsidR="00F26416" w:rsidRPr="00FE7A02" w:rsidRDefault="00F26416" w:rsidP="00F26416">
      <w:pPr>
        <w:rPr>
          <w:rFonts w:cs="Calibri"/>
          <w:b/>
          <w:bCs/>
          <w:sz w:val="24"/>
          <w:szCs w:val="24"/>
        </w:rPr>
      </w:pPr>
    </w:p>
    <w:p w14:paraId="15BE17FA" w14:textId="77777777" w:rsidR="00F26416" w:rsidRPr="00FE7A02" w:rsidRDefault="00F26416" w:rsidP="00F26416">
      <w:pPr>
        <w:rPr>
          <w:rFonts w:cs="Calibri"/>
          <w:sz w:val="24"/>
          <w:szCs w:val="24"/>
        </w:rPr>
      </w:pPr>
      <w:r w:rsidRPr="00FE7A02">
        <w:rPr>
          <w:rFonts w:cs="Calibri"/>
          <w:sz w:val="24"/>
          <w:szCs w:val="24"/>
        </w:rPr>
        <w:t xml:space="preserve">The information you requested is exempt from disclosure under the EISRs because we do not hold it.  Regulation 10(4)(a) of the EISRs provides an exemption from disclosure when we do not hold the information you have requested.  </w:t>
      </w:r>
    </w:p>
    <w:p w14:paraId="38AA7E41" w14:textId="77777777" w:rsidR="00F26416" w:rsidRPr="00FE7A02" w:rsidRDefault="00F26416" w:rsidP="00F26416">
      <w:pPr>
        <w:rPr>
          <w:rFonts w:cs="Calibri"/>
          <w:sz w:val="24"/>
          <w:szCs w:val="24"/>
        </w:rPr>
      </w:pPr>
    </w:p>
    <w:p w14:paraId="7FBA526F" w14:textId="77777777" w:rsidR="00F26416" w:rsidRPr="00FE7A02" w:rsidRDefault="00F26416" w:rsidP="00F26416">
      <w:pPr>
        <w:rPr>
          <w:rFonts w:eastAsia="Calibri" w:cs="Calibri"/>
          <w:sz w:val="24"/>
          <w:szCs w:val="24"/>
        </w:rPr>
      </w:pPr>
      <w:r w:rsidRPr="00FE7A02">
        <w:rPr>
          <w:rFonts w:cs="Calibri"/>
          <w:sz w:val="24"/>
          <w:szCs w:val="24"/>
        </w:rPr>
        <w:t xml:space="preserve">Before we can use this exemption, we must apply the public interest test.  This requires us to consider the balance between the public interest in making the information available to you and the public interest in applying the exemption.  We recognise there is a public interest in a Scottish public authority making information available to applicants in situations where it is held by the authority.  However, there is a stronger public interest in </w:t>
      </w:r>
      <w:r w:rsidRPr="00FE7A02">
        <w:rPr>
          <w:rFonts w:cs="Calibri"/>
          <w:sz w:val="24"/>
          <w:szCs w:val="24"/>
        </w:rPr>
        <w:lastRenderedPageBreak/>
        <w:t xml:space="preserve">authorities being able to refuse requests for information where it is not held by them.  We are therefore entitled to rely on the exemption in the circumstances. </w:t>
      </w:r>
    </w:p>
    <w:p w14:paraId="6143C319" w14:textId="77777777" w:rsidR="00F26416" w:rsidRPr="00FE7A02" w:rsidRDefault="00F26416" w:rsidP="00F26416">
      <w:pPr>
        <w:rPr>
          <w:rFonts w:cs="Calibri"/>
          <w:b/>
          <w:bCs/>
          <w:sz w:val="24"/>
          <w:szCs w:val="24"/>
        </w:rPr>
      </w:pPr>
    </w:p>
    <w:p w14:paraId="7FA080ED" w14:textId="77777777" w:rsidR="00F26416" w:rsidRPr="00FE7A02" w:rsidRDefault="00F26416" w:rsidP="00F26416">
      <w:pPr>
        <w:rPr>
          <w:rFonts w:cs="Calibri"/>
          <w:sz w:val="24"/>
          <w:szCs w:val="24"/>
        </w:rPr>
      </w:pPr>
      <w:r w:rsidRPr="00FE7A02">
        <w:rPr>
          <w:rFonts w:cs="Calibri"/>
          <w:b/>
          <w:bCs/>
          <w:sz w:val="24"/>
          <w:szCs w:val="24"/>
        </w:rPr>
        <w:t>What about FOISA?</w:t>
      </w:r>
    </w:p>
    <w:p w14:paraId="4B7F050D" w14:textId="77777777" w:rsidR="00F26416" w:rsidRPr="00FE7A02" w:rsidRDefault="00F26416" w:rsidP="00F26416">
      <w:pPr>
        <w:rPr>
          <w:rFonts w:cs="Calibri"/>
          <w:sz w:val="24"/>
          <w:szCs w:val="24"/>
        </w:rPr>
      </w:pPr>
    </w:p>
    <w:p w14:paraId="62F18E6D" w14:textId="77777777" w:rsidR="00F26416" w:rsidRPr="00FE7A02" w:rsidRDefault="00F26416" w:rsidP="00F26416">
      <w:pPr>
        <w:rPr>
          <w:rFonts w:cs="Calibri"/>
          <w:sz w:val="24"/>
          <w:szCs w:val="24"/>
        </w:rPr>
      </w:pPr>
      <w:r w:rsidRPr="00FE7A02">
        <w:rPr>
          <w:rFonts w:cs="Calibri"/>
          <w:sz w:val="24"/>
          <w:szCs w:val="24"/>
        </w:rPr>
        <w:t>We first had to consider your request under FOISA before we could process it under the EISRs.  We applied the exemption contained in Section 39(2) of FOISA, which allowed us to process the request under the EISRs.</w:t>
      </w:r>
    </w:p>
    <w:p w14:paraId="67F1C91B" w14:textId="77777777" w:rsidR="00F26416" w:rsidRPr="00FE7A02" w:rsidRDefault="00F26416" w:rsidP="00F26416">
      <w:pPr>
        <w:rPr>
          <w:rFonts w:cs="Calibri"/>
          <w:sz w:val="24"/>
          <w:szCs w:val="24"/>
        </w:rPr>
      </w:pPr>
    </w:p>
    <w:p w14:paraId="41BD0506" w14:textId="77777777" w:rsidR="00F26416" w:rsidRPr="00FE7A02" w:rsidRDefault="00F26416" w:rsidP="00F26416">
      <w:pPr>
        <w:rPr>
          <w:rFonts w:cs="Calibri"/>
          <w:sz w:val="24"/>
          <w:szCs w:val="24"/>
        </w:rPr>
      </w:pPr>
      <w:r w:rsidRPr="00FE7A02">
        <w:rPr>
          <w:rFonts w:cs="Calibri"/>
          <w:sz w:val="24"/>
          <w:szCs w:val="24"/>
        </w:rPr>
        <w:t>This provides that information is exempt information under FOISA if:</w:t>
      </w:r>
    </w:p>
    <w:p w14:paraId="0B768675" w14:textId="77777777" w:rsidR="00F26416" w:rsidRPr="00FE7A02" w:rsidRDefault="00F26416" w:rsidP="00F26416">
      <w:pPr>
        <w:rPr>
          <w:rFonts w:cs="Calibri"/>
          <w:sz w:val="24"/>
          <w:szCs w:val="24"/>
        </w:rPr>
      </w:pPr>
    </w:p>
    <w:p w14:paraId="5D10F0B9" w14:textId="77777777" w:rsidR="00F26416" w:rsidRPr="00FE7A02" w:rsidRDefault="00F26416" w:rsidP="00F26416">
      <w:pPr>
        <w:pStyle w:val="ListParagraph"/>
        <w:numPr>
          <w:ilvl w:val="0"/>
          <w:numId w:val="3"/>
        </w:numPr>
        <w:jc w:val="both"/>
        <w:rPr>
          <w:rFonts w:cs="Calibri"/>
          <w:sz w:val="24"/>
          <w:szCs w:val="24"/>
        </w:rPr>
      </w:pPr>
      <w:r w:rsidRPr="00FE7A02">
        <w:rPr>
          <w:rFonts w:cs="Calibri"/>
          <w:sz w:val="24"/>
          <w:szCs w:val="24"/>
        </w:rPr>
        <w:t xml:space="preserve">a Scottish public authority is required by the EISRs to make it available to the public; or </w:t>
      </w:r>
    </w:p>
    <w:p w14:paraId="6DEFC837" w14:textId="77777777" w:rsidR="00F26416" w:rsidRPr="00FE7A02" w:rsidRDefault="00F26416" w:rsidP="00F26416">
      <w:pPr>
        <w:pStyle w:val="ListParagraph"/>
        <w:numPr>
          <w:ilvl w:val="0"/>
          <w:numId w:val="3"/>
        </w:numPr>
        <w:jc w:val="both"/>
        <w:rPr>
          <w:rFonts w:cs="Calibri"/>
          <w:sz w:val="24"/>
          <w:szCs w:val="24"/>
        </w:rPr>
      </w:pPr>
      <w:r w:rsidRPr="00FE7A02">
        <w:rPr>
          <w:rFonts w:cs="Calibri"/>
          <w:sz w:val="24"/>
          <w:szCs w:val="24"/>
        </w:rPr>
        <w:t xml:space="preserve">a Scottish public authority is required by the EISRs to make it available to the public but does not have to because of an exemption.  </w:t>
      </w:r>
    </w:p>
    <w:p w14:paraId="22E0CC1C" w14:textId="77777777" w:rsidR="00F26416" w:rsidRPr="00FE7A02" w:rsidRDefault="00F26416" w:rsidP="00F26416">
      <w:pPr>
        <w:rPr>
          <w:rFonts w:cs="Calibri"/>
          <w:sz w:val="24"/>
          <w:szCs w:val="24"/>
        </w:rPr>
      </w:pPr>
    </w:p>
    <w:p w14:paraId="0B26AAC9" w14:textId="42662C85" w:rsidR="00583F2F" w:rsidRPr="00F26416" w:rsidRDefault="00F26416" w:rsidP="00F26416">
      <w:pPr>
        <w:rPr>
          <w:rFonts w:cs="Calibri"/>
          <w:sz w:val="24"/>
          <w:szCs w:val="24"/>
        </w:rPr>
      </w:pPr>
      <w:r w:rsidRPr="00FE7A02">
        <w:rPr>
          <w:rFonts w:cs="Calibri"/>
          <w:sz w:val="24"/>
          <w:szCs w:val="24"/>
        </w:rPr>
        <w:t xml:space="preserve">Before we can use this exemption, we must apply the public interest test.  We recognise there is a public interest in the requested information being made publicly available, irrespective of whether this is under FOISA or the EISRs.  However, we note there is a separate and specific right of access to environmental information available to applicants under the EISRs.  It is in the public interest for the correct legislation to be applied to the request.  </w:t>
      </w:r>
    </w:p>
    <w:sectPr w:rsidR="00583F2F" w:rsidRPr="00F26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915D5"/>
    <w:multiLevelType w:val="hybridMultilevel"/>
    <w:tmpl w:val="70E0CE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851115"/>
    <w:multiLevelType w:val="hybridMultilevel"/>
    <w:tmpl w:val="0A4EB0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69C62D7D"/>
    <w:multiLevelType w:val="hybridMultilevel"/>
    <w:tmpl w:val="7EAAC8E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1049108622">
    <w:abstractNumId w:val="1"/>
    <w:lvlOverride w:ilvl="0"/>
    <w:lvlOverride w:ilvl="1"/>
    <w:lvlOverride w:ilvl="2"/>
    <w:lvlOverride w:ilvl="3"/>
    <w:lvlOverride w:ilvl="4"/>
    <w:lvlOverride w:ilvl="5"/>
    <w:lvlOverride w:ilvl="6"/>
    <w:lvlOverride w:ilvl="7"/>
    <w:lvlOverride w:ilvl="8"/>
  </w:num>
  <w:num w:numId="2" w16cid:durableId="8481827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71195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16"/>
    <w:rsid w:val="00154BA9"/>
    <w:rsid w:val="00583F2F"/>
    <w:rsid w:val="0066460B"/>
    <w:rsid w:val="00E714CF"/>
    <w:rsid w:val="00F264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640D"/>
  <w15:chartTrackingRefBased/>
  <w15:docId w15:val="{AA1B11B1-1AED-4BE8-B3D4-A06808D6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6416"/>
    <w:pPr>
      <w:spacing w:after="0" w:line="240" w:lineRule="auto"/>
    </w:pPr>
    <w:rPr>
      <w:rFonts w:ascii="Calibri" w:eastAsia="Times New Roman" w:hAnsi="Calibri" w:cs="Times New Roman"/>
      <w:kern w:val="0"/>
      <w:sz w:val="20"/>
      <w:szCs w:val="20"/>
      <w:lang w:eastAsia="en-GB"/>
      <w14:ligatures w14:val="none"/>
    </w:rPr>
  </w:style>
  <w:style w:type="paragraph" w:styleId="Heading1">
    <w:name w:val="heading 1"/>
    <w:basedOn w:val="Normal"/>
    <w:next w:val="Normal"/>
    <w:link w:val="Heading1Char"/>
    <w:uiPriority w:val="9"/>
    <w:qFormat/>
    <w:rsid w:val="00F26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4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4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4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4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416"/>
    <w:rPr>
      <w:rFonts w:eastAsiaTheme="majorEastAsia" w:cstheme="majorBidi"/>
      <w:color w:val="272727" w:themeColor="text1" w:themeTint="D8"/>
    </w:rPr>
  </w:style>
  <w:style w:type="paragraph" w:styleId="Title">
    <w:name w:val="Title"/>
    <w:basedOn w:val="Normal"/>
    <w:next w:val="Normal"/>
    <w:link w:val="TitleChar"/>
    <w:uiPriority w:val="10"/>
    <w:qFormat/>
    <w:rsid w:val="00F264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416"/>
    <w:pPr>
      <w:spacing w:before="160"/>
      <w:jc w:val="center"/>
    </w:pPr>
    <w:rPr>
      <w:i/>
      <w:iCs/>
      <w:color w:val="404040" w:themeColor="text1" w:themeTint="BF"/>
    </w:rPr>
  </w:style>
  <w:style w:type="character" w:customStyle="1" w:styleId="QuoteChar">
    <w:name w:val="Quote Char"/>
    <w:basedOn w:val="DefaultParagraphFont"/>
    <w:link w:val="Quote"/>
    <w:uiPriority w:val="29"/>
    <w:rsid w:val="00F26416"/>
    <w:rPr>
      <w:i/>
      <w:iCs/>
      <w:color w:val="404040" w:themeColor="text1" w:themeTint="BF"/>
    </w:rPr>
  </w:style>
  <w:style w:type="paragraph" w:styleId="ListParagraph">
    <w:name w:val="List Paragraph"/>
    <w:basedOn w:val="Normal"/>
    <w:uiPriority w:val="34"/>
    <w:qFormat/>
    <w:rsid w:val="00F26416"/>
    <w:pPr>
      <w:ind w:left="720"/>
      <w:contextualSpacing/>
    </w:pPr>
  </w:style>
  <w:style w:type="character" w:styleId="IntenseEmphasis">
    <w:name w:val="Intense Emphasis"/>
    <w:basedOn w:val="DefaultParagraphFont"/>
    <w:uiPriority w:val="21"/>
    <w:qFormat/>
    <w:rsid w:val="00F26416"/>
    <w:rPr>
      <w:i/>
      <w:iCs/>
      <w:color w:val="0F4761" w:themeColor="accent1" w:themeShade="BF"/>
    </w:rPr>
  </w:style>
  <w:style w:type="paragraph" w:styleId="IntenseQuote">
    <w:name w:val="Intense Quote"/>
    <w:basedOn w:val="Normal"/>
    <w:next w:val="Normal"/>
    <w:link w:val="IntenseQuoteChar"/>
    <w:uiPriority w:val="30"/>
    <w:qFormat/>
    <w:rsid w:val="00F26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416"/>
    <w:rPr>
      <w:i/>
      <w:iCs/>
      <w:color w:val="0F4761" w:themeColor="accent1" w:themeShade="BF"/>
    </w:rPr>
  </w:style>
  <w:style w:type="character" w:styleId="IntenseReference">
    <w:name w:val="Intense Reference"/>
    <w:basedOn w:val="DefaultParagraphFont"/>
    <w:uiPriority w:val="32"/>
    <w:qFormat/>
    <w:rsid w:val="00F264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CA959ADCD3B48868047D93A75FF32" ma:contentTypeVersion="25" ma:contentTypeDescription="Create a new document." ma:contentTypeScope="" ma:versionID="5937ba8831a604cadcec82ed3d534f0a">
  <xsd:schema xmlns:xsd="http://www.w3.org/2001/XMLSchema" xmlns:xs="http://www.w3.org/2001/XMLSchema" xmlns:p="http://schemas.microsoft.com/office/2006/metadata/properties" xmlns:ns1="http://schemas.microsoft.com/sharepoint/v3" xmlns:ns2="e1d9cb2f-0b9c-4b6f-8c88-d7cc9ca89a94" xmlns:ns3="65b6d800-2dda-48d6-88d8-9e2b35e6f7ea" targetNamespace="http://schemas.microsoft.com/office/2006/metadata/properties" ma:root="true" ma:fieldsID="6adba295da8b38000e0c39c78920e8d8" ns1:_="" ns2:_="" ns3:_="">
    <xsd:import namespace="http://schemas.microsoft.com/sharepoint/v3"/>
    <xsd:import namespace="e1d9cb2f-0b9c-4b6f-8c88-d7cc9ca89a94"/>
    <xsd:import namespace="65b6d800-2dda-48d6-88d8-9e2b35e6f7ea"/>
    <xsd:element name="properties">
      <xsd:complexType>
        <xsd:sequence>
          <xsd:element name="documentManagement">
            <xsd:complexType>
              <xsd:all>
                <xsd:element ref="ns2:o49a6551a5174fd091773af0de7dca61" minOccurs="0"/>
                <xsd:element ref="ns3:TaxCatchAll" minOccurs="0"/>
                <xsd:element ref="ns3:nb8d4ac56d8e4f3eab60cf43dc4a8542"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9cb2f-0b9c-4b6f-8c88-d7cc9ca89a94" elementFormDefault="qualified">
    <xsd:import namespace="http://schemas.microsoft.com/office/2006/documentManagement/types"/>
    <xsd:import namespace="http://schemas.microsoft.com/office/infopath/2007/PartnerControls"/>
    <xsd:element name="o49a6551a5174fd091773af0de7dca61" ma:index="9" nillable="true" ma:taxonomy="true" ma:internalName="o49a6551a5174fd091773af0de7dca61" ma:taxonomyFieldName="Governance_x0020_Area" ma:displayName="Governance Area" ma:indexed="true" ma:default="" ma:fieldId="{849a6551-a517-4fd0-9177-3af0de7dca61}" ma:sspId="f924a736-b285-4c68-8cdb-5ccf3ff341b6" ma:termSetId="8f3c1e7a-6c9e-4568-9ff1-912999fe9949"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924a736-b285-4c68-8cdb-5ccf3ff341b6"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d800-2dda-48d6-88d8-9e2b35e6f7ea"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08503f4a-e7b5-4e8b-9a1b-011360948be7}" ma:internalName="TaxCatchAll" ma:showField="CatchAllData" ma:web="65b6d800-2dda-48d6-88d8-9e2b35e6f7ea">
      <xsd:complexType>
        <xsd:complexContent>
          <xsd:extension base="dms:MultiChoiceLookup">
            <xsd:sequence>
              <xsd:element name="Value" type="dms:Lookup" maxOccurs="unbounded" minOccurs="0" nillable="true"/>
            </xsd:sequence>
          </xsd:extension>
        </xsd:complexContent>
      </xsd:complexType>
    </xsd:element>
    <xsd:element name="nb8d4ac56d8e4f3eab60cf43dc4a8542" ma:index="12" nillable="true" ma:taxonomy="true" ma:internalName="nb8d4ac56d8e4f3eab60cf43dc4a8542" ma:taxonomyFieldName="Financial_x0020_Year" ma:displayName="Financial Year" ma:indexed="true" ma:default="" ma:fieldId="{7b8d4ac5-6d8e-4f3e-ab60-cf43dc4a8542}" ma:sspId="f924a736-b285-4c68-8cdb-5ccf3ff341b6" ma:termSetId="e3db7dc0-d157-4e6b-95e0-f2d210bd78ba" ma:anchorId="00000000-0000-0000-0000-000000000000" ma:open="false" ma:isKeyword="false">
      <xsd:complexType>
        <xsd:sequence>
          <xsd:element ref="pc:Terms" minOccurs="0" maxOccurs="1"/>
        </xsd:sequence>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49a6551a5174fd091773af0de7dca61 xmlns="e1d9cb2f-0b9c-4b6f-8c88-d7cc9ca89a94">
      <Terms xmlns="http://schemas.microsoft.com/office/infopath/2007/PartnerControls"/>
    </o49a6551a5174fd091773af0de7dca61>
    <lcf76f155ced4ddcb4097134ff3c332f xmlns="e1d9cb2f-0b9c-4b6f-8c88-d7cc9ca89a94">
      <Terms xmlns="http://schemas.microsoft.com/office/infopath/2007/PartnerControls"/>
    </lcf76f155ced4ddcb4097134ff3c332f>
    <_ip_UnifiedCompliancePolicyProperties xmlns="http://schemas.microsoft.com/sharepoint/v3" xsi:nil="true"/>
    <nb8d4ac56d8e4f3eab60cf43dc4a8542 xmlns="65b6d800-2dda-48d6-88d8-9e2b35e6f7ea">
      <Terms xmlns="http://schemas.microsoft.com/office/infopath/2007/PartnerControls"/>
    </nb8d4ac56d8e4f3eab60cf43dc4a8542>
    <TaxCatchAll xmlns="65b6d800-2dda-48d6-88d8-9e2b35e6f7ea" xsi:nil="true"/>
  </documentManagement>
</p:properties>
</file>

<file path=customXml/itemProps1.xml><?xml version="1.0" encoding="utf-8"?>
<ds:datastoreItem xmlns:ds="http://schemas.openxmlformats.org/officeDocument/2006/customXml" ds:itemID="{4B836DE2-D92B-42D9-8225-5CD29E13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9cb2f-0b9c-4b6f-8c88-d7cc9ca89a94"/>
    <ds:schemaRef ds:uri="65b6d800-2dda-48d6-88d8-9e2b35e6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6A187-7E64-4840-91A0-6634CD7B43E0}">
  <ds:schemaRefs>
    <ds:schemaRef ds:uri="http://schemas.microsoft.com/office/2006/metadata/customXsn"/>
  </ds:schemaRefs>
</ds:datastoreItem>
</file>

<file path=customXml/itemProps3.xml><?xml version="1.0" encoding="utf-8"?>
<ds:datastoreItem xmlns:ds="http://schemas.openxmlformats.org/officeDocument/2006/customXml" ds:itemID="{9CAE8637-1308-4E56-AA26-0FC042896F84}">
  <ds:schemaRefs>
    <ds:schemaRef ds:uri="http://schemas.microsoft.com/sharepoint/v3/contenttype/forms"/>
  </ds:schemaRefs>
</ds:datastoreItem>
</file>

<file path=customXml/itemProps4.xml><?xml version="1.0" encoding="utf-8"?>
<ds:datastoreItem xmlns:ds="http://schemas.openxmlformats.org/officeDocument/2006/customXml" ds:itemID="{B3EC5564-334C-4BDB-8127-821FFF011B47}">
  <ds:schemaRefs>
    <ds:schemaRef ds:uri="http://schemas.microsoft.com/office/2006/metadata/properties"/>
    <ds:schemaRef ds:uri="http://schemas.microsoft.com/office/infopath/2007/PartnerControls"/>
    <ds:schemaRef ds:uri="http://schemas.microsoft.com/sharepoint/v3"/>
    <ds:schemaRef ds:uri="e1d9cb2f-0b9c-4b6f-8c88-d7cc9ca89a94"/>
    <ds:schemaRef ds:uri="65b6d800-2dda-48d6-88d8-9e2b35e6f7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McLean</dc:creator>
  <cp:keywords/>
  <dc:description/>
  <cp:lastModifiedBy>Kirsty McLean</cp:lastModifiedBy>
  <cp:revision>2</cp:revision>
  <dcterms:created xsi:type="dcterms:W3CDTF">2025-02-25T14:09:00Z</dcterms:created>
  <dcterms:modified xsi:type="dcterms:W3CDTF">2025-02-25T14:13:00Z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0x010100F34CA959ADCD3B48868047D93A75FF32</vt:lpwstr>
  </property>
  <property fmtid="{D5CDD505-2E9C-101B-9397-08002B2CF9AE}" pid="3" name="MediaServiceImageTags">
    <vt:lpwstr/>
  </property>
  <property fmtid="{D5CDD505-2E9C-101B-9397-08002B2CF9AE}" pid="4" name="Governance Area">
    <vt:lpwstr/>
  </property>
  <property fmtid="{D5CDD505-2E9C-101B-9397-08002B2CF9AE}" pid="5" name="Financial Year">
    <vt:lpwstr/>
  </property>
</Properties>
</file>