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09997" w14:textId="77777777" w:rsidR="00B90122" w:rsidRDefault="00B901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75C1305B" w14:textId="042EA719" w:rsidR="00805421" w:rsidRPr="00B90122" w:rsidRDefault="00B90122" w:rsidP="00B90122">
            <w:pPr>
              <w:pStyle w:val="Documentsubtitle"/>
              <w:rPr>
                <w:sz w:val="36"/>
              </w:rPr>
            </w:pPr>
            <w:r w:rsidRPr="00B90122">
              <w:rPr>
                <w:sz w:val="36"/>
              </w:rPr>
              <w:t>Public Services Reform (Scotland) Act 2010</w:t>
            </w:r>
          </w:p>
          <w:p w14:paraId="54912600" w14:textId="77777777" w:rsidR="00B90122" w:rsidRDefault="00B90122">
            <w:pPr>
              <w:pStyle w:val="Documenttitle"/>
              <w:rPr>
                <w:szCs w:val="88"/>
              </w:rPr>
            </w:pPr>
          </w:p>
          <w:p w14:paraId="495062F0" w14:textId="6A841A2D" w:rsidR="00B90122" w:rsidRPr="00D53544" w:rsidRDefault="00FB6CCD">
            <w:pPr>
              <w:pStyle w:val="Documenttitle"/>
              <w:rPr>
                <w:szCs w:val="88"/>
              </w:rPr>
            </w:pPr>
            <w:r>
              <w:rPr>
                <w:szCs w:val="88"/>
              </w:rPr>
              <w:t>R</w:t>
            </w:r>
            <w:r w:rsidR="00B90122">
              <w:rPr>
                <w:szCs w:val="88"/>
              </w:rPr>
              <w:t xml:space="preserve">eport for the year ended 31 </w:t>
            </w:r>
            <w:r>
              <w:rPr>
                <w:szCs w:val="88"/>
              </w:rPr>
              <w:t>M</w:t>
            </w:r>
            <w:r w:rsidR="00B90122">
              <w:rPr>
                <w:szCs w:val="88"/>
              </w:rPr>
              <w:t>arch 202</w:t>
            </w:r>
            <w:r w:rsidR="006270C9">
              <w:rPr>
                <w:szCs w:val="88"/>
              </w:rPr>
              <w:t>4</w:t>
            </w:r>
          </w:p>
        </w:tc>
      </w:tr>
      <w:tr w:rsidR="00805421" w:rsidRPr="00A87DBB" w14:paraId="3FBED2F1" w14:textId="77777777" w:rsidTr="00805421">
        <w:trPr>
          <w:trHeight w:val="1561"/>
        </w:trPr>
        <w:tc>
          <w:tcPr>
            <w:tcW w:w="6663" w:type="dxa"/>
          </w:tcPr>
          <w:p w14:paraId="437A23DE" w14:textId="716B3EB3" w:rsidR="00805421" w:rsidRPr="00B90122" w:rsidRDefault="006270C9">
            <w:pPr>
              <w:pStyle w:val="Documentsubtitle"/>
              <w:rPr>
                <w:sz w:val="32"/>
                <w:szCs w:val="32"/>
              </w:rPr>
            </w:pPr>
            <w:r>
              <w:rPr>
                <w:sz w:val="32"/>
                <w:szCs w:val="32"/>
              </w:rPr>
              <w:t>December 2024</w:t>
            </w:r>
          </w:p>
        </w:tc>
      </w:tr>
      <w:tr w:rsidR="00805421" w:rsidRPr="00A87DBB" w14:paraId="25B3ADDF" w14:textId="77777777" w:rsidTr="00805421">
        <w:trPr>
          <w:trHeight w:val="1134"/>
        </w:trPr>
        <w:tc>
          <w:tcPr>
            <w:tcW w:w="6663" w:type="dxa"/>
          </w:tcPr>
          <w:p w14:paraId="203ED665" w14:textId="15583692" w:rsidR="00805421" w:rsidRPr="00805421" w:rsidRDefault="00805421" w:rsidP="00805421">
            <w:pPr>
              <w:pStyle w:val="Coverinfo"/>
            </w:pPr>
          </w:p>
        </w:tc>
      </w:tr>
      <w:tr w:rsidR="00805421" w:rsidRPr="00A87DBB" w14:paraId="2B3D2FB0" w14:textId="77777777" w:rsidTr="00805421">
        <w:trPr>
          <w:trHeight w:val="567"/>
        </w:trPr>
        <w:tc>
          <w:tcPr>
            <w:tcW w:w="6663" w:type="dxa"/>
          </w:tcPr>
          <w:p w14:paraId="06028F39" w14:textId="01AEC5E8" w:rsidR="00805421" w:rsidRPr="00805421" w:rsidRDefault="00805421" w:rsidP="00805421">
            <w:pPr>
              <w:pStyle w:val="Coverinfo"/>
              <w:rPr>
                <w:b/>
                <w:bCs/>
              </w:rPr>
            </w:pPr>
          </w:p>
        </w:tc>
      </w:tr>
    </w:tbl>
    <w:p w14:paraId="6C639259" w14:textId="77777777" w:rsidR="009215D0" w:rsidRDefault="009215D0" w:rsidP="00805421">
      <w:pPr>
        <w:jc w:val="both"/>
        <w:sectPr w:rsidR="009215D0" w:rsidSect="00694710">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065988EA" w:rsidR="009215D0" w:rsidRPr="00C723B4" w:rsidRDefault="009215D0" w:rsidP="00A1503F">
      <w:pPr>
        <w:pStyle w:val="Heading10"/>
        <w:rPr>
          <w:b/>
          <w:bCs/>
          <w:sz w:val="40"/>
          <w:szCs w:val="40"/>
        </w:rPr>
      </w:pPr>
      <w:bookmarkStart w:id="0" w:name="_Toc184223599"/>
      <w:r w:rsidRPr="00C723B4">
        <w:rPr>
          <w:b/>
          <w:bCs/>
          <w:sz w:val="40"/>
          <w:szCs w:val="40"/>
        </w:rPr>
        <w:lastRenderedPageBreak/>
        <w:t>C</w:t>
      </w:r>
      <w:r w:rsidR="00A1503F" w:rsidRPr="00C723B4">
        <w:rPr>
          <w:b/>
          <w:bCs/>
          <w:sz w:val="40"/>
          <w:szCs w:val="40"/>
        </w:rPr>
        <w:t>ontents</w:t>
      </w:r>
      <w:bookmarkEnd w:id="0"/>
    </w:p>
    <w:p w14:paraId="537D83F2" w14:textId="0F07D3D0" w:rsidR="00C723B4" w:rsidRDefault="00ED0985">
      <w:pPr>
        <w:pStyle w:val="TOC1"/>
        <w:tabs>
          <w:tab w:val="right" w:leader="dot" w:pos="9628"/>
        </w:tabs>
        <w:rPr>
          <w:rFonts w:eastAsiaTheme="minorEastAsia"/>
          <w:b w:val="0"/>
          <w:noProof/>
          <w:color w:val="auto"/>
          <w:kern w:val="2"/>
          <w:szCs w:val="24"/>
          <w:lang w:eastAsia="en-GB"/>
          <w14:ligatures w14:val="standardContextual"/>
        </w:rPr>
      </w:pPr>
      <w:r>
        <w:fldChar w:fldCharType="begin"/>
      </w:r>
      <w:r>
        <w:instrText xml:space="preserve"> TOC \o "1-2" \h \z \u </w:instrText>
      </w:r>
      <w:r>
        <w:fldChar w:fldCharType="separate"/>
      </w:r>
      <w:hyperlink w:anchor="_Toc184223599" w:history="1">
        <w:r w:rsidR="00C723B4" w:rsidRPr="004D15E7">
          <w:rPr>
            <w:rStyle w:val="Hyperlink"/>
            <w:bCs/>
            <w:noProof/>
          </w:rPr>
          <w:t>Contents</w:t>
        </w:r>
        <w:r w:rsidR="00C723B4">
          <w:rPr>
            <w:noProof/>
            <w:webHidden/>
          </w:rPr>
          <w:tab/>
        </w:r>
        <w:r w:rsidR="00C723B4">
          <w:rPr>
            <w:noProof/>
            <w:webHidden/>
          </w:rPr>
          <w:fldChar w:fldCharType="begin"/>
        </w:r>
        <w:r w:rsidR="00C723B4">
          <w:rPr>
            <w:noProof/>
            <w:webHidden/>
          </w:rPr>
          <w:instrText xml:space="preserve"> PAGEREF _Toc184223599 \h </w:instrText>
        </w:r>
        <w:r w:rsidR="00C723B4">
          <w:rPr>
            <w:noProof/>
            <w:webHidden/>
          </w:rPr>
        </w:r>
        <w:r w:rsidR="00C723B4">
          <w:rPr>
            <w:noProof/>
            <w:webHidden/>
          </w:rPr>
          <w:fldChar w:fldCharType="separate"/>
        </w:r>
        <w:r w:rsidR="00C723B4">
          <w:rPr>
            <w:noProof/>
            <w:webHidden/>
          </w:rPr>
          <w:t>2</w:t>
        </w:r>
        <w:r w:rsidR="00C723B4">
          <w:rPr>
            <w:noProof/>
            <w:webHidden/>
          </w:rPr>
          <w:fldChar w:fldCharType="end"/>
        </w:r>
      </w:hyperlink>
    </w:p>
    <w:p w14:paraId="113BC371" w14:textId="03E8A10C" w:rsidR="00C723B4" w:rsidRDefault="00000000">
      <w:pPr>
        <w:pStyle w:val="TOC1"/>
        <w:tabs>
          <w:tab w:val="right" w:leader="dot" w:pos="9628"/>
        </w:tabs>
        <w:rPr>
          <w:rFonts w:eastAsiaTheme="minorEastAsia"/>
          <w:b w:val="0"/>
          <w:noProof/>
          <w:color w:val="auto"/>
          <w:kern w:val="2"/>
          <w:szCs w:val="24"/>
          <w:lang w:eastAsia="en-GB"/>
          <w14:ligatures w14:val="standardContextual"/>
        </w:rPr>
      </w:pPr>
      <w:hyperlink w:anchor="_Toc184223600" w:history="1">
        <w:r w:rsidR="00C723B4" w:rsidRPr="004D15E7">
          <w:rPr>
            <w:rStyle w:val="Hyperlink"/>
            <w:bCs/>
            <w:noProof/>
          </w:rPr>
          <w:t>Introduction</w:t>
        </w:r>
        <w:r w:rsidR="00C723B4">
          <w:rPr>
            <w:noProof/>
            <w:webHidden/>
          </w:rPr>
          <w:tab/>
        </w:r>
        <w:r w:rsidR="00C723B4">
          <w:rPr>
            <w:noProof/>
            <w:webHidden/>
          </w:rPr>
          <w:fldChar w:fldCharType="begin"/>
        </w:r>
        <w:r w:rsidR="00C723B4">
          <w:rPr>
            <w:noProof/>
            <w:webHidden/>
          </w:rPr>
          <w:instrText xml:space="preserve"> PAGEREF _Toc184223600 \h </w:instrText>
        </w:r>
        <w:r w:rsidR="00C723B4">
          <w:rPr>
            <w:noProof/>
            <w:webHidden/>
          </w:rPr>
        </w:r>
        <w:r w:rsidR="00C723B4">
          <w:rPr>
            <w:noProof/>
            <w:webHidden/>
          </w:rPr>
          <w:fldChar w:fldCharType="separate"/>
        </w:r>
        <w:r w:rsidR="00C723B4">
          <w:rPr>
            <w:noProof/>
            <w:webHidden/>
          </w:rPr>
          <w:t>3</w:t>
        </w:r>
        <w:r w:rsidR="00C723B4">
          <w:rPr>
            <w:noProof/>
            <w:webHidden/>
          </w:rPr>
          <w:fldChar w:fldCharType="end"/>
        </w:r>
      </w:hyperlink>
    </w:p>
    <w:p w14:paraId="3CC58870" w14:textId="3BB74FDA" w:rsidR="00C723B4" w:rsidRDefault="00000000">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184223601" w:history="1">
        <w:r w:rsidR="00C723B4" w:rsidRPr="004D15E7">
          <w:rPr>
            <w:rStyle w:val="Hyperlink"/>
            <w:bCs/>
            <w:noProof/>
          </w:rPr>
          <w:t>1.</w:t>
        </w:r>
        <w:r w:rsidR="00C723B4">
          <w:rPr>
            <w:rFonts w:eastAsiaTheme="minorEastAsia"/>
            <w:b w:val="0"/>
            <w:noProof/>
            <w:color w:val="auto"/>
            <w:kern w:val="2"/>
            <w:szCs w:val="24"/>
            <w:lang w:eastAsia="en-GB"/>
            <w14:ligatures w14:val="standardContextual"/>
          </w:rPr>
          <w:tab/>
        </w:r>
        <w:r w:rsidR="00C723B4" w:rsidRPr="004D15E7">
          <w:rPr>
            <w:rStyle w:val="Hyperlink"/>
            <w:bCs/>
            <w:noProof/>
          </w:rPr>
          <w:t>Steps to promote sustainable growth</w:t>
        </w:r>
        <w:r w:rsidR="00C723B4">
          <w:rPr>
            <w:noProof/>
            <w:webHidden/>
          </w:rPr>
          <w:tab/>
        </w:r>
        <w:r w:rsidR="00C723B4">
          <w:rPr>
            <w:noProof/>
            <w:webHidden/>
          </w:rPr>
          <w:fldChar w:fldCharType="begin"/>
        </w:r>
        <w:r w:rsidR="00C723B4">
          <w:rPr>
            <w:noProof/>
            <w:webHidden/>
          </w:rPr>
          <w:instrText xml:space="preserve"> PAGEREF _Toc184223601 \h </w:instrText>
        </w:r>
        <w:r w:rsidR="00C723B4">
          <w:rPr>
            <w:noProof/>
            <w:webHidden/>
          </w:rPr>
        </w:r>
        <w:r w:rsidR="00C723B4">
          <w:rPr>
            <w:noProof/>
            <w:webHidden/>
          </w:rPr>
          <w:fldChar w:fldCharType="separate"/>
        </w:r>
        <w:r w:rsidR="00C723B4">
          <w:rPr>
            <w:noProof/>
            <w:webHidden/>
          </w:rPr>
          <w:t>4</w:t>
        </w:r>
        <w:r w:rsidR="00C723B4">
          <w:rPr>
            <w:noProof/>
            <w:webHidden/>
          </w:rPr>
          <w:fldChar w:fldCharType="end"/>
        </w:r>
      </w:hyperlink>
    </w:p>
    <w:p w14:paraId="011007FC" w14:textId="2FB8AF5C" w:rsidR="00C723B4" w:rsidRDefault="00000000">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184223603" w:history="1">
        <w:r w:rsidR="00C723B4" w:rsidRPr="004D15E7">
          <w:rPr>
            <w:rStyle w:val="Hyperlink"/>
            <w:bCs/>
            <w:noProof/>
          </w:rPr>
          <w:t>2.</w:t>
        </w:r>
        <w:r w:rsidR="00C723B4">
          <w:rPr>
            <w:rFonts w:eastAsiaTheme="minorEastAsia"/>
            <w:b w:val="0"/>
            <w:noProof/>
            <w:color w:val="auto"/>
            <w:kern w:val="2"/>
            <w:szCs w:val="24"/>
            <w:lang w:eastAsia="en-GB"/>
            <w14:ligatures w14:val="standardContextual"/>
          </w:rPr>
          <w:tab/>
        </w:r>
        <w:r w:rsidR="00C723B4" w:rsidRPr="004D15E7">
          <w:rPr>
            <w:rStyle w:val="Hyperlink"/>
            <w:bCs/>
            <w:noProof/>
          </w:rPr>
          <w:t>Steps to improve efficiency, effectiveness and economy</w:t>
        </w:r>
        <w:r w:rsidR="00C723B4">
          <w:rPr>
            <w:noProof/>
            <w:webHidden/>
          </w:rPr>
          <w:tab/>
        </w:r>
        <w:r w:rsidR="00C723B4">
          <w:rPr>
            <w:noProof/>
            <w:webHidden/>
          </w:rPr>
          <w:fldChar w:fldCharType="begin"/>
        </w:r>
        <w:r w:rsidR="00C723B4">
          <w:rPr>
            <w:noProof/>
            <w:webHidden/>
          </w:rPr>
          <w:instrText xml:space="preserve"> PAGEREF _Toc184223603 \h </w:instrText>
        </w:r>
        <w:r w:rsidR="00C723B4">
          <w:rPr>
            <w:noProof/>
            <w:webHidden/>
          </w:rPr>
        </w:r>
        <w:r w:rsidR="00C723B4">
          <w:rPr>
            <w:noProof/>
            <w:webHidden/>
          </w:rPr>
          <w:fldChar w:fldCharType="separate"/>
        </w:r>
        <w:r w:rsidR="00C723B4">
          <w:rPr>
            <w:noProof/>
            <w:webHidden/>
          </w:rPr>
          <w:t>5</w:t>
        </w:r>
        <w:r w:rsidR="00C723B4">
          <w:rPr>
            <w:noProof/>
            <w:webHidden/>
          </w:rPr>
          <w:fldChar w:fldCharType="end"/>
        </w:r>
      </w:hyperlink>
    </w:p>
    <w:p w14:paraId="5F0EF31C" w14:textId="35D91FBB" w:rsidR="00C723B4" w:rsidRDefault="00000000">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184223604" w:history="1">
        <w:r w:rsidR="00C723B4" w:rsidRPr="004D15E7">
          <w:rPr>
            <w:rStyle w:val="Hyperlink"/>
            <w:bCs/>
            <w:noProof/>
          </w:rPr>
          <w:t>3.</w:t>
        </w:r>
        <w:r w:rsidR="00C723B4">
          <w:rPr>
            <w:rFonts w:eastAsiaTheme="minorEastAsia"/>
            <w:b w:val="0"/>
            <w:noProof/>
            <w:color w:val="auto"/>
            <w:kern w:val="2"/>
            <w:szCs w:val="24"/>
            <w:lang w:eastAsia="en-GB"/>
            <w14:ligatures w14:val="standardContextual"/>
          </w:rPr>
          <w:tab/>
        </w:r>
        <w:r w:rsidR="00C723B4" w:rsidRPr="004D15E7">
          <w:rPr>
            <w:rStyle w:val="Hyperlink"/>
            <w:bCs/>
            <w:noProof/>
          </w:rPr>
          <w:t>Expenditure information</w:t>
        </w:r>
        <w:r w:rsidR="00C723B4">
          <w:rPr>
            <w:noProof/>
            <w:webHidden/>
          </w:rPr>
          <w:tab/>
        </w:r>
        <w:r w:rsidR="00C723B4">
          <w:rPr>
            <w:noProof/>
            <w:webHidden/>
          </w:rPr>
          <w:fldChar w:fldCharType="begin"/>
        </w:r>
        <w:r w:rsidR="00C723B4">
          <w:rPr>
            <w:noProof/>
            <w:webHidden/>
          </w:rPr>
          <w:instrText xml:space="preserve"> PAGEREF _Toc184223604 \h </w:instrText>
        </w:r>
        <w:r w:rsidR="00C723B4">
          <w:rPr>
            <w:noProof/>
            <w:webHidden/>
          </w:rPr>
        </w:r>
        <w:r w:rsidR="00C723B4">
          <w:rPr>
            <w:noProof/>
            <w:webHidden/>
          </w:rPr>
          <w:fldChar w:fldCharType="separate"/>
        </w:r>
        <w:r w:rsidR="00C723B4">
          <w:rPr>
            <w:noProof/>
            <w:webHidden/>
          </w:rPr>
          <w:t>7</w:t>
        </w:r>
        <w:r w:rsidR="00C723B4">
          <w:rPr>
            <w:noProof/>
            <w:webHidden/>
          </w:rPr>
          <w:fldChar w:fldCharType="end"/>
        </w:r>
      </w:hyperlink>
    </w:p>
    <w:p w14:paraId="5B916B96" w14:textId="1A45919F" w:rsidR="00C723B4" w:rsidRDefault="00000000">
      <w:pPr>
        <w:pStyle w:val="TOC2"/>
        <w:rPr>
          <w:rFonts w:eastAsiaTheme="minorEastAsia"/>
          <w:kern w:val="2"/>
          <w:sz w:val="24"/>
          <w:szCs w:val="24"/>
          <w:lang w:eastAsia="en-GB"/>
          <w14:ligatures w14:val="standardContextual"/>
        </w:rPr>
      </w:pPr>
      <w:hyperlink w:anchor="_Toc184223605" w:history="1">
        <w:r w:rsidR="00C723B4" w:rsidRPr="004D15E7">
          <w:rPr>
            <w:rStyle w:val="Hyperlink"/>
          </w:rPr>
          <w:t>3.1 Public relations</w:t>
        </w:r>
        <w:r w:rsidR="00C723B4">
          <w:rPr>
            <w:webHidden/>
          </w:rPr>
          <w:tab/>
        </w:r>
        <w:r w:rsidR="00C723B4">
          <w:rPr>
            <w:webHidden/>
          </w:rPr>
          <w:fldChar w:fldCharType="begin"/>
        </w:r>
        <w:r w:rsidR="00C723B4">
          <w:rPr>
            <w:webHidden/>
          </w:rPr>
          <w:instrText xml:space="preserve"> PAGEREF _Toc184223605 \h </w:instrText>
        </w:r>
        <w:r w:rsidR="00C723B4">
          <w:rPr>
            <w:webHidden/>
          </w:rPr>
        </w:r>
        <w:r w:rsidR="00C723B4">
          <w:rPr>
            <w:webHidden/>
          </w:rPr>
          <w:fldChar w:fldCharType="separate"/>
        </w:r>
        <w:r w:rsidR="00C723B4">
          <w:rPr>
            <w:webHidden/>
          </w:rPr>
          <w:t>7</w:t>
        </w:r>
        <w:r w:rsidR="00C723B4">
          <w:rPr>
            <w:webHidden/>
          </w:rPr>
          <w:fldChar w:fldCharType="end"/>
        </w:r>
      </w:hyperlink>
    </w:p>
    <w:p w14:paraId="74D94CCE" w14:textId="62A62B37" w:rsidR="00C723B4" w:rsidRDefault="00000000">
      <w:pPr>
        <w:pStyle w:val="TOC2"/>
        <w:rPr>
          <w:rFonts w:eastAsiaTheme="minorEastAsia"/>
          <w:kern w:val="2"/>
          <w:sz w:val="24"/>
          <w:szCs w:val="24"/>
          <w:lang w:eastAsia="en-GB"/>
          <w14:ligatures w14:val="standardContextual"/>
        </w:rPr>
      </w:pPr>
      <w:hyperlink w:anchor="_Toc184223606" w:history="1">
        <w:r w:rsidR="00C723B4" w:rsidRPr="004D15E7">
          <w:rPr>
            <w:rStyle w:val="Hyperlink"/>
          </w:rPr>
          <w:t>3.2 Overseas travel</w:t>
        </w:r>
        <w:r w:rsidR="00C723B4">
          <w:rPr>
            <w:webHidden/>
          </w:rPr>
          <w:tab/>
        </w:r>
        <w:r w:rsidR="00C723B4">
          <w:rPr>
            <w:webHidden/>
          </w:rPr>
          <w:fldChar w:fldCharType="begin"/>
        </w:r>
        <w:r w:rsidR="00C723B4">
          <w:rPr>
            <w:webHidden/>
          </w:rPr>
          <w:instrText xml:space="preserve"> PAGEREF _Toc184223606 \h </w:instrText>
        </w:r>
        <w:r w:rsidR="00C723B4">
          <w:rPr>
            <w:webHidden/>
          </w:rPr>
        </w:r>
        <w:r w:rsidR="00C723B4">
          <w:rPr>
            <w:webHidden/>
          </w:rPr>
          <w:fldChar w:fldCharType="separate"/>
        </w:r>
        <w:r w:rsidR="00C723B4">
          <w:rPr>
            <w:webHidden/>
          </w:rPr>
          <w:t>7</w:t>
        </w:r>
        <w:r w:rsidR="00C723B4">
          <w:rPr>
            <w:webHidden/>
          </w:rPr>
          <w:fldChar w:fldCharType="end"/>
        </w:r>
      </w:hyperlink>
    </w:p>
    <w:p w14:paraId="4F646994" w14:textId="66ACFB56" w:rsidR="00C723B4" w:rsidRDefault="00000000">
      <w:pPr>
        <w:pStyle w:val="TOC2"/>
        <w:rPr>
          <w:rFonts w:eastAsiaTheme="minorEastAsia"/>
          <w:kern w:val="2"/>
          <w:sz w:val="24"/>
          <w:szCs w:val="24"/>
          <w:lang w:eastAsia="en-GB"/>
          <w14:ligatures w14:val="standardContextual"/>
        </w:rPr>
      </w:pPr>
      <w:hyperlink w:anchor="_Toc184223607" w:history="1">
        <w:r w:rsidR="00C723B4" w:rsidRPr="004D15E7">
          <w:rPr>
            <w:rStyle w:val="Hyperlink"/>
          </w:rPr>
          <w:t>3.3 Hospitality and entertainment</w:t>
        </w:r>
        <w:r w:rsidR="00C723B4">
          <w:rPr>
            <w:webHidden/>
          </w:rPr>
          <w:tab/>
        </w:r>
        <w:r w:rsidR="00C723B4">
          <w:rPr>
            <w:webHidden/>
          </w:rPr>
          <w:fldChar w:fldCharType="begin"/>
        </w:r>
        <w:r w:rsidR="00C723B4">
          <w:rPr>
            <w:webHidden/>
          </w:rPr>
          <w:instrText xml:space="preserve"> PAGEREF _Toc184223607 \h </w:instrText>
        </w:r>
        <w:r w:rsidR="00C723B4">
          <w:rPr>
            <w:webHidden/>
          </w:rPr>
        </w:r>
        <w:r w:rsidR="00C723B4">
          <w:rPr>
            <w:webHidden/>
          </w:rPr>
          <w:fldChar w:fldCharType="separate"/>
        </w:r>
        <w:r w:rsidR="00C723B4">
          <w:rPr>
            <w:webHidden/>
          </w:rPr>
          <w:t>8</w:t>
        </w:r>
        <w:r w:rsidR="00C723B4">
          <w:rPr>
            <w:webHidden/>
          </w:rPr>
          <w:fldChar w:fldCharType="end"/>
        </w:r>
      </w:hyperlink>
    </w:p>
    <w:p w14:paraId="5A333E96" w14:textId="33098D37" w:rsidR="00C723B4" w:rsidRDefault="00000000">
      <w:pPr>
        <w:pStyle w:val="TOC2"/>
        <w:rPr>
          <w:rFonts w:eastAsiaTheme="minorEastAsia"/>
          <w:kern w:val="2"/>
          <w:sz w:val="24"/>
          <w:szCs w:val="24"/>
          <w:lang w:eastAsia="en-GB"/>
          <w14:ligatures w14:val="standardContextual"/>
        </w:rPr>
      </w:pPr>
      <w:hyperlink w:anchor="_Toc184223608" w:history="1">
        <w:r w:rsidR="00C723B4" w:rsidRPr="004D15E7">
          <w:rPr>
            <w:rStyle w:val="Hyperlink"/>
          </w:rPr>
          <w:t>3.4 External consultancy</w:t>
        </w:r>
        <w:r w:rsidR="00C723B4">
          <w:rPr>
            <w:webHidden/>
          </w:rPr>
          <w:tab/>
        </w:r>
        <w:r w:rsidR="00C723B4">
          <w:rPr>
            <w:webHidden/>
          </w:rPr>
          <w:fldChar w:fldCharType="begin"/>
        </w:r>
        <w:r w:rsidR="00C723B4">
          <w:rPr>
            <w:webHidden/>
          </w:rPr>
          <w:instrText xml:space="preserve"> PAGEREF _Toc184223608 \h </w:instrText>
        </w:r>
        <w:r w:rsidR="00C723B4">
          <w:rPr>
            <w:webHidden/>
          </w:rPr>
        </w:r>
        <w:r w:rsidR="00C723B4">
          <w:rPr>
            <w:webHidden/>
          </w:rPr>
          <w:fldChar w:fldCharType="separate"/>
        </w:r>
        <w:r w:rsidR="00C723B4">
          <w:rPr>
            <w:webHidden/>
          </w:rPr>
          <w:t>8</w:t>
        </w:r>
        <w:r w:rsidR="00C723B4">
          <w:rPr>
            <w:webHidden/>
          </w:rPr>
          <w:fldChar w:fldCharType="end"/>
        </w:r>
      </w:hyperlink>
    </w:p>
    <w:p w14:paraId="7AF4E8F0" w14:textId="3A060CEE" w:rsidR="00C723B4" w:rsidRDefault="00000000">
      <w:pPr>
        <w:pStyle w:val="TOC2"/>
        <w:rPr>
          <w:rFonts w:eastAsiaTheme="minorEastAsia"/>
          <w:kern w:val="2"/>
          <w:sz w:val="24"/>
          <w:szCs w:val="24"/>
          <w:lang w:eastAsia="en-GB"/>
          <w14:ligatures w14:val="standardContextual"/>
        </w:rPr>
      </w:pPr>
      <w:hyperlink w:anchor="_Toc184223609" w:history="1">
        <w:r w:rsidR="00C723B4" w:rsidRPr="004D15E7">
          <w:rPr>
            <w:rStyle w:val="Hyperlink"/>
          </w:rPr>
          <w:t>3.5 Payments in excess of £25,000</w:t>
        </w:r>
        <w:r w:rsidR="00C723B4">
          <w:rPr>
            <w:webHidden/>
          </w:rPr>
          <w:tab/>
        </w:r>
        <w:r w:rsidR="00C723B4">
          <w:rPr>
            <w:webHidden/>
          </w:rPr>
          <w:fldChar w:fldCharType="begin"/>
        </w:r>
        <w:r w:rsidR="00C723B4">
          <w:rPr>
            <w:webHidden/>
          </w:rPr>
          <w:instrText xml:space="preserve"> PAGEREF _Toc184223609 \h </w:instrText>
        </w:r>
        <w:r w:rsidR="00C723B4">
          <w:rPr>
            <w:webHidden/>
          </w:rPr>
        </w:r>
        <w:r w:rsidR="00C723B4">
          <w:rPr>
            <w:webHidden/>
          </w:rPr>
          <w:fldChar w:fldCharType="separate"/>
        </w:r>
        <w:r w:rsidR="00C723B4">
          <w:rPr>
            <w:webHidden/>
          </w:rPr>
          <w:t>9</w:t>
        </w:r>
        <w:r w:rsidR="00C723B4">
          <w:rPr>
            <w:webHidden/>
          </w:rPr>
          <w:fldChar w:fldCharType="end"/>
        </w:r>
      </w:hyperlink>
    </w:p>
    <w:p w14:paraId="20994756" w14:textId="3C066B22" w:rsidR="00C723B4" w:rsidRDefault="00000000">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184223610" w:history="1">
        <w:r w:rsidR="00C723B4" w:rsidRPr="004D15E7">
          <w:rPr>
            <w:rStyle w:val="Hyperlink"/>
            <w:bCs/>
            <w:noProof/>
          </w:rPr>
          <w:t>4.</w:t>
        </w:r>
        <w:r w:rsidR="00C723B4">
          <w:rPr>
            <w:rFonts w:eastAsiaTheme="minorEastAsia"/>
            <w:b w:val="0"/>
            <w:noProof/>
            <w:color w:val="auto"/>
            <w:kern w:val="2"/>
            <w:szCs w:val="24"/>
            <w:lang w:eastAsia="en-GB"/>
            <w14:ligatures w14:val="standardContextual"/>
          </w:rPr>
          <w:tab/>
        </w:r>
        <w:r w:rsidR="00C723B4" w:rsidRPr="004D15E7">
          <w:rPr>
            <w:rStyle w:val="Hyperlink"/>
            <w:bCs/>
            <w:noProof/>
          </w:rPr>
          <w:t>Remuneration</w:t>
        </w:r>
        <w:r w:rsidR="00C723B4">
          <w:rPr>
            <w:noProof/>
            <w:webHidden/>
          </w:rPr>
          <w:tab/>
        </w:r>
        <w:r w:rsidR="00C723B4">
          <w:rPr>
            <w:noProof/>
            <w:webHidden/>
          </w:rPr>
          <w:fldChar w:fldCharType="begin"/>
        </w:r>
        <w:r w:rsidR="00C723B4">
          <w:rPr>
            <w:noProof/>
            <w:webHidden/>
          </w:rPr>
          <w:instrText xml:space="preserve"> PAGEREF _Toc184223610 \h </w:instrText>
        </w:r>
        <w:r w:rsidR="00C723B4">
          <w:rPr>
            <w:noProof/>
            <w:webHidden/>
          </w:rPr>
        </w:r>
        <w:r w:rsidR="00C723B4">
          <w:rPr>
            <w:noProof/>
            <w:webHidden/>
          </w:rPr>
          <w:fldChar w:fldCharType="separate"/>
        </w:r>
        <w:r w:rsidR="00C723B4">
          <w:rPr>
            <w:noProof/>
            <w:webHidden/>
          </w:rPr>
          <w:t>10</w:t>
        </w:r>
        <w:r w:rsidR="00C723B4">
          <w:rPr>
            <w:noProof/>
            <w:webHidden/>
          </w:rPr>
          <w:fldChar w:fldCharType="end"/>
        </w:r>
      </w:hyperlink>
    </w:p>
    <w:p w14:paraId="303CEB3F" w14:textId="698998EC" w:rsidR="00450C94" w:rsidRDefault="00ED0985" w:rsidP="00805421">
      <w:pPr>
        <w:jc w:val="both"/>
      </w:pPr>
      <w:r>
        <w:fldChar w:fldCharType="end"/>
      </w:r>
    </w:p>
    <w:p w14:paraId="0E52021B" w14:textId="0AD02A81" w:rsidR="00450C94" w:rsidRDefault="00450C94" w:rsidP="00805421">
      <w:pPr>
        <w:jc w:val="both"/>
      </w:pPr>
    </w:p>
    <w:p w14:paraId="143807AB" w14:textId="72EFCB85" w:rsidR="00450C94" w:rsidRDefault="00450C94" w:rsidP="00805421">
      <w:pPr>
        <w:jc w:val="both"/>
      </w:pPr>
    </w:p>
    <w:p w14:paraId="43CA464B" w14:textId="77777777" w:rsidR="00EA5341" w:rsidRDefault="00EA5341" w:rsidP="00ED0985">
      <w:pPr>
        <w:pStyle w:val="Heading10"/>
        <w:rPr>
          <w:sz w:val="40"/>
          <w:szCs w:val="40"/>
        </w:rPr>
        <w:sectPr w:rsidR="00EA5341" w:rsidSect="009215D0">
          <w:headerReference w:type="default" r:id="rId18"/>
          <w:type w:val="continuous"/>
          <w:pgSz w:w="11906" w:h="16838" w:code="9"/>
          <w:pgMar w:top="1134" w:right="1134" w:bottom="1134" w:left="1134" w:header="567" w:footer="567" w:gutter="0"/>
          <w:cols w:space="708"/>
          <w:docGrid w:linePitch="360"/>
        </w:sectPr>
      </w:pPr>
    </w:p>
    <w:p w14:paraId="582F31E5" w14:textId="6BCBE1B0" w:rsidR="007E7292" w:rsidRPr="00C723B4" w:rsidRDefault="007E7292" w:rsidP="00ED0985">
      <w:pPr>
        <w:pStyle w:val="Heading10"/>
        <w:rPr>
          <w:b/>
          <w:bCs/>
          <w:sz w:val="40"/>
          <w:szCs w:val="40"/>
        </w:rPr>
      </w:pPr>
      <w:bookmarkStart w:id="1" w:name="_Toc184223600"/>
      <w:r w:rsidRPr="00C723B4">
        <w:rPr>
          <w:b/>
          <w:bCs/>
          <w:sz w:val="40"/>
          <w:szCs w:val="40"/>
        </w:rPr>
        <w:lastRenderedPageBreak/>
        <w:t>Introduction</w:t>
      </w:r>
      <w:bookmarkEnd w:id="1"/>
    </w:p>
    <w:p w14:paraId="52395167" w14:textId="4F8BCC31" w:rsidR="001E0B4D" w:rsidRDefault="001E0B4D" w:rsidP="001E0B4D">
      <w:pPr>
        <w:pStyle w:val="Bullet1"/>
        <w:numPr>
          <w:ilvl w:val="0"/>
          <w:numId w:val="0"/>
        </w:numPr>
      </w:pPr>
      <w:r w:rsidRPr="001E0B4D">
        <w:t>Part 3 of the Public Services Reform (Scotland) Act 2010</w:t>
      </w:r>
      <w:r>
        <w:t xml:space="preserve"> (PSRA)</w:t>
      </w:r>
      <w:r w:rsidRPr="001E0B4D">
        <w:t xml:space="preserve"> imposes duties on the Scottish Government and listed public bodies to publish information as soon as </w:t>
      </w:r>
      <w:r w:rsidR="0057680E">
        <w:t>reasonably practicable after each financial year's end</w:t>
      </w:r>
      <w:r w:rsidRPr="001E0B4D">
        <w:t>. These duties came into force on 1 October 2010. The duties in Part 3 of the 2010 Act are intended to promote greater openness and transparency.</w:t>
      </w:r>
    </w:p>
    <w:p w14:paraId="75614891" w14:textId="77777777" w:rsidR="001E0B4D" w:rsidRDefault="001E0B4D" w:rsidP="001E0B4D">
      <w:pPr>
        <w:pStyle w:val="Bullet1"/>
        <w:numPr>
          <w:ilvl w:val="0"/>
          <w:numId w:val="0"/>
        </w:numPr>
      </w:pPr>
    </w:p>
    <w:p w14:paraId="2F8EDE29" w14:textId="079A9957" w:rsidR="001E0B4D" w:rsidRDefault="001E0B4D" w:rsidP="001E0B4D">
      <w:pPr>
        <w:pStyle w:val="Bullet1"/>
        <w:numPr>
          <w:ilvl w:val="0"/>
          <w:numId w:val="0"/>
        </w:numPr>
      </w:pPr>
      <w:r>
        <w:t xml:space="preserve">This document details the information the Water Industry Commission for Scotland (WICS) </w:t>
      </w:r>
      <w:r w:rsidR="0057680E">
        <w:t>must</w:t>
      </w:r>
      <w:r>
        <w:t xml:space="preserve"> publish as prescribed in the PSRA. It has been compiled </w:t>
      </w:r>
      <w:r w:rsidR="00A1503F">
        <w:t>using the Scottish Government's guidance</w:t>
      </w:r>
      <w:r>
        <w:t xml:space="preserve">. </w:t>
      </w:r>
    </w:p>
    <w:p w14:paraId="76412D9D" w14:textId="77777777" w:rsidR="001E0B4D" w:rsidRDefault="001E0B4D" w:rsidP="001E0B4D">
      <w:pPr>
        <w:pStyle w:val="Bullet1"/>
        <w:numPr>
          <w:ilvl w:val="0"/>
          <w:numId w:val="0"/>
        </w:numPr>
      </w:pPr>
    </w:p>
    <w:p w14:paraId="25DE2D92" w14:textId="5C662D0A" w:rsidR="007E7292" w:rsidRPr="00C55970" w:rsidRDefault="001E0B4D" w:rsidP="00C55970">
      <w:pPr>
        <w:pStyle w:val="Bullet1"/>
        <w:numPr>
          <w:ilvl w:val="0"/>
          <w:numId w:val="0"/>
        </w:numPr>
      </w:pPr>
      <w:r>
        <w:t xml:space="preserve">Further information on </w:t>
      </w:r>
      <w:r w:rsidR="0057680E">
        <w:t>WICS's work can be found on its website. The annual report and accounts provide full audited financial information</w:t>
      </w:r>
      <w:r w:rsidR="00C55970">
        <w:t>.</w:t>
      </w:r>
      <w:r w:rsidR="007E7292">
        <w:br w:type="page"/>
      </w:r>
    </w:p>
    <w:p w14:paraId="68E0B068" w14:textId="08657B90" w:rsidR="007E7292" w:rsidRPr="00C723B4" w:rsidRDefault="007E7292" w:rsidP="00C723B4">
      <w:pPr>
        <w:pStyle w:val="Heading10"/>
        <w:numPr>
          <w:ilvl w:val="0"/>
          <w:numId w:val="31"/>
        </w:numPr>
        <w:rPr>
          <w:b/>
          <w:bCs/>
          <w:sz w:val="40"/>
          <w:szCs w:val="40"/>
        </w:rPr>
      </w:pPr>
      <w:bookmarkStart w:id="2" w:name="_Toc184223601"/>
      <w:r w:rsidRPr="00C723B4">
        <w:rPr>
          <w:b/>
          <w:bCs/>
          <w:sz w:val="40"/>
          <w:szCs w:val="40"/>
        </w:rPr>
        <w:lastRenderedPageBreak/>
        <w:t>Steps to promote sustainable growth</w:t>
      </w:r>
      <w:bookmarkEnd w:id="2"/>
    </w:p>
    <w:p w14:paraId="0FCE6050"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r w:rsidRPr="00A6297A">
        <w:rPr>
          <w:rFonts w:cstheme="minorHAnsi"/>
          <w:color w:val="000000" w:themeColor="text1"/>
          <w:szCs w:val="24"/>
        </w:rPr>
        <w:t>Section 32(1)(a) of the Public Services Reform (Scotland) Act 2010 requires public bodies to outline steps taken to promote and increase sustainable growth.</w:t>
      </w:r>
    </w:p>
    <w:p w14:paraId="7B518F30"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p>
    <w:p w14:paraId="02EF1223" w14:textId="77777777" w:rsidR="00A6297A" w:rsidRPr="0020004E" w:rsidRDefault="00A6297A" w:rsidP="0020004E">
      <w:pPr>
        <w:autoSpaceDE w:val="0"/>
        <w:autoSpaceDN w:val="0"/>
        <w:adjustRightInd w:val="0"/>
        <w:spacing w:line="23" w:lineRule="atLeast"/>
        <w:jc w:val="both"/>
        <w:rPr>
          <w:rFonts w:asciiTheme="majorHAnsi" w:eastAsiaTheme="majorEastAsia" w:hAnsiTheme="majorHAnsi" w:cstheme="majorBidi"/>
          <w:color w:val="5F7577" w:themeColor="accent2"/>
          <w:sz w:val="28"/>
          <w:szCs w:val="28"/>
        </w:rPr>
      </w:pPr>
      <w:r w:rsidRPr="0020004E">
        <w:rPr>
          <w:rFonts w:asciiTheme="majorHAnsi" w:eastAsiaTheme="majorEastAsia" w:hAnsiTheme="majorHAnsi" w:cstheme="majorBidi"/>
          <w:color w:val="5F7577" w:themeColor="accent2"/>
          <w:sz w:val="28"/>
          <w:szCs w:val="28"/>
        </w:rPr>
        <w:t>Supporting a sustainable water industry</w:t>
      </w:r>
    </w:p>
    <w:p w14:paraId="28977932"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r w:rsidRPr="00A6297A">
        <w:rPr>
          <w:rFonts w:cstheme="minorHAnsi"/>
          <w:color w:val="000000" w:themeColor="text1"/>
          <w:szCs w:val="24"/>
        </w:rPr>
        <w:t xml:space="preserve">As Scottish Water's economic regulator, WICS is committed to ensuring long-term sustainability for Scotland’s water industry. During 2023-24, WICS initiated the consultative process for the Strategic Review of Charges (SRC) 2027-33, focusing on sustainability and innovative investment approaches. </w:t>
      </w:r>
    </w:p>
    <w:p w14:paraId="56113AA6"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p>
    <w:p w14:paraId="6E03C7B8" w14:textId="1CE4E6CF" w:rsidR="00A6297A" w:rsidRPr="00A6297A" w:rsidRDefault="00A6297A" w:rsidP="00A6297A">
      <w:pPr>
        <w:autoSpaceDE w:val="0"/>
        <w:autoSpaceDN w:val="0"/>
        <w:adjustRightInd w:val="0"/>
        <w:spacing w:line="23" w:lineRule="atLeast"/>
        <w:jc w:val="both"/>
        <w:rPr>
          <w:rFonts w:cstheme="minorHAnsi"/>
          <w:color w:val="000000" w:themeColor="text1"/>
          <w:szCs w:val="24"/>
        </w:rPr>
      </w:pPr>
      <w:r w:rsidRPr="00A6297A">
        <w:rPr>
          <w:rFonts w:cstheme="minorHAnsi"/>
          <w:color w:val="000000" w:themeColor="text1"/>
          <w:szCs w:val="24"/>
        </w:rPr>
        <w:t>The draft methodology incorporates lessons from previous reviews and prioritises options that balance environmental and social benefits with financial sustainability. The regulatory framework will enable Scottish Water to deliver services efficiently while meeting ambitious national goals, such as achieving net-zero emissions by 2040. Th</w:t>
      </w:r>
      <w:r w:rsidR="00C038C4">
        <w:rPr>
          <w:rFonts w:cstheme="minorHAnsi"/>
          <w:color w:val="000000" w:themeColor="text1"/>
          <w:szCs w:val="24"/>
        </w:rPr>
        <w:t>is</w:t>
      </w:r>
      <w:r w:rsidRPr="00A6297A">
        <w:rPr>
          <w:rFonts w:cstheme="minorHAnsi"/>
          <w:color w:val="000000" w:themeColor="text1"/>
          <w:szCs w:val="24"/>
        </w:rPr>
        <w:t xml:space="preserve"> ensure</w:t>
      </w:r>
      <w:r w:rsidR="00C038C4">
        <w:rPr>
          <w:rFonts w:cstheme="minorHAnsi"/>
          <w:color w:val="000000" w:themeColor="text1"/>
          <w:szCs w:val="24"/>
        </w:rPr>
        <w:t>s</w:t>
      </w:r>
      <w:r w:rsidRPr="00A6297A">
        <w:rPr>
          <w:rFonts w:cstheme="minorHAnsi"/>
          <w:color w:val="000000" w:themeColor="text1"/>
          <w:szCs w:val="24"/>
        </w:rPr>
        <w:t xml:space="preserve"> that customers receive high-quality, affordable services while preparing the industry to adapt to the challenges of climate change.</w:t>
      </w:r>
    </w:p>
    <w:p w14:paraId="2211E0BF" w14:textId="77777777" w:rsidR="00A6297A" w:rsidRPr="00A6297A" w:rsidRDefault="00A6297A" w:rsidP="00A6297A">
      <w:pPr>
        <w:autoSpaceDE w:val="0"/>
        <w:autoSpaceDN w:val="0"/>
        <w:adjustRightInd w:val="0"/>
        <w:spacing w:line="23" w:lineRule="atLeast"/>
        <w:jc w:val="both"/>
        <w:rPr>
          <w:rFonts w:cstheme="minorHAnsi"/>
          <w:b/>
          <w:bCs/>
          <w:color w:val="000000" w:themeColor="text1"/>
          <w:szCs w:val="24"/>
        </w:rPr>
      </w:pPr>
    </w:p>
    <w:p w14:paraId="22E7BF74" w14:textId="77777777" w:rsidR="00A6297A" w:rsidRPr="00A6297A" w:rsidRDefault="00A6297A" w:rsidP="00A6297A">
      <w:pPr>
        <w:autoSpaceDE w:val="0"/>
        <w:autoSpaceDN w:val="0"/>
        <w:adjustRightInd w:val="0"/>
        <w:spacing w:line="23" w:lineRule="atLeast"/>
        <w:jc w:val="both"/>
        <w:rPr>
          <w:rFonts w:asciiTheme="majorHAnsi" w:eastAsiaTheme="majorEastAsia" w:hAnsiTheme="majorHAnsi" w:cstheme="majorBidi"/>
          <w:color w:val="5F7577" w:themeColor="accent2"/>
          <w:sz w:val="28"/>
          <w:szCs w:val="28"/>
        </w:rPr>
      </w:pPr>
      <w:r w:rsidRPr="00A6297A">
        <w:rPr>
          <w:rFonts w:asciiTheme="majorHAnsi" w:eastAsiaTheme="majorEastAsia" w:hAnsiTheme="majorHAnsi" w:cstheme="majorBidi"/>
          <w:color w:val="5F7577" w:themeColor="accent2"/>
          <w:sz w:val="28"/>
          <w:szCs w:val="28"/>
        </w:rPr>
        <w:t>Driving economic growth</w:t>
      </w:r>
    </w:p>
    <w:p w14:paraId="2FA8843B"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r w:rsidRPr="00A6297A">
        <w:rPr>
          <w:rFonts w:cstheme="minorHAnsi"/>
          <w:color w:val="000000" w:themeColor="text1"/>
          <w:szCs w:val="24"/>
        </w:rPr>
        <w:t>WICS supported economic development by aligning regulatory objectives with the Scottish Ministers’ policy priorities, enabling efficient investment in infrastructure to support communities and businesses.</w:t>
      </w:r>
    </w:p>
    <w:p w14:paraId="6EE5A306"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p>
    <w:p w14:paraId="7AAC03FA"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r w:rsidRPr="00A6297A">
        <w:rPr>
          <w:rFonts w:cstheme="minorHAnsi"/>
          <w:color w:val="000000" w:themeColor="text1"/>
          <w:szCs w:val="24"/>
        </w:rPr>
        <w:t>Through collaborative work with stakeholders, WICS enhanced Scottish Water's reporting standards, ensuring resources were allocated efficiently to high-priority projects. This effort contributes to significant progress in delivering infrastructure improvements and operational efficiencies.</w:t>
      </w:r>
    </w:p>
    <w:p w14:paraId="3421961E" w14:textId="77777777" w:rsidR="00A6297A" w:rsidRPr="00A6297A" w:rsidRDefault="00A6297A" w:rsidP="00A6297A">
      <w:pPr>
        <w:autoSpaceDE w:val="0"/>
        <w:autoSpaceDN w:val="0"/>
        <w:adjustRightInd w:val="0"/>
        <w:spacing w:line="23" w:lineRule="atLeast"/>
        <w:jc w:val="both"/>
        <w:rPr>
          <w:rFonts w:cstheme="minorHAnsi"/>
          <w:b/>
          <w:bCs/>
          <w:color w:val="000000" w:themeColor="text1"/>
          <w:szCs w:val="24"/>
        </w:rPr>
      </w:pPr>
    </w:p>
    <w:p w14:paraId="0788BFF7" w14:textId="77777777" w:rsidR="00A6297A" w:rsidRPr="00A6297A" w:rsidRDefault="00A6297A" w:rsidP="00A6297A">
      <w:pPr>
        <w:autoSpaceDE w:val="0"/>
        <w:autoSpaceDN w:val="0"/>
        <w:adjustRightInd w:val="0"/>
        <w:spacing w:line="23" w:lineRule="atLeast"/>
        <w:jc w:val="both"/>
        <w:rPr>
          <w:rFonts w:cstheme="minorHAnsi"/>
          <w:b/>
          <w:bCs/>
          <w:color w:val="000000" w:themeColor="text1"/>
          <w:szCs w:val="24"/>
        </w:rPr>
      </w:pPr>
      <w:r w:rsidRPr="00A6297A">
        <w:rPr>
          <w:rFonts w:asciiTheme="majorHAnsi" w:eastAsiaTheme="majorEastAsia" w:hAnsiTheme="majorHAnsi" w:cstheme="majorBidi"/>
          <w:color w:val="5F7577" w:themeColor="accent2"/>
          <w:sz w:val="28"/>
          <w:szCs w:val="28"/>
        </w:rPr>
        <w:t>Promoting global collaboration</w:t>
      </w:r>
    </w:p>
    <w:p w14:paraId="243909A6"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r w:rsidRPr="00A6297A">
        <w:rPr>
          <w:rFonts w:cstheme="minorHAnsi"/>
          <w:color w:val="000000" w:themeColor="text1"/>
          <w:szCs w:val="24"/>
        </w:rPr>
        <w:t>Through the Hydro Nation initiative, WICS shared regulatory expertise internationally, enhancing Scotland’s reputation as a leader in water regulation.</w:t>
      </w:r>
    </w:p>
    <w:p w14:paraId="3B33F182" w14:textId="77777777" w:rsidR="00A6297A" w:rsidRPr="00A6297A" w:rsidRDefault="00A6297A" w:rsidP="00A6297A">
      <w:pPr>
        <w:autoSpaceDE w:val="0"/>
        <w:autoSpaceDN w:val="0"/>
        <w:adjustRightInd w:val="0"/>
        <w:spacing w:line="23" w:lineRule="atLeast"/>
        <w:jc w:val="both"/>
        <w:rPr>
          <w:rFonts w:cstheme="minorHAnsi"/>
          <w:b/>
          <w:bCs/>
          <w:color w:val="000000" w:themeColor="text1"/>
          <w:szCs w:val="24"/>
        </w:rPr>
      </w:pPr>
    </w:p>
    <w:p w14:paraId="52C4D7A6" w14:textId="7962E857" w:rsidR="00A6297A" w:rsidRPr="00A6297A" w:rsidRDefault="00A6297A" w:rsidP="00A6297A">
      <w:pPr>
        <w:autoSpaceDE w:val="0"/>
        <w:autoSpaceDN w:val="0"/>
        <w:adjustRightInd w:val="0"/>
        <w:spacing w:line="23" w:lineRule="atLeast"/>
        <w:jc w:val="both"/>
        <w:rPr>
          <w:color w:val="000000" w:themeColor="text1"/>
        </w:rPr>
      </w:pPr>
      <w:r w:rsidRPr="6A4BF06F">
        <w:rPr>
          <w:color w:val="000000" w:themeColor="text1"/>
        </w:rPr>
        <w:t>During the year, WICS supported the New Zealand Department of Internal Affairs with water reform efforts and advised on infrastructure regulation for the country’s state highways. These projects provided staff with invaluable development opportunities and generated revenue that offsets</w:t>
      </w:r>
      <w:r w:rsidR="00AF2DF7" w:rsidRPr="6A4BF06F">
        <w:rPr>
          <w:color w:val="000000" w:themeColor="text1"/>
        </w:rPr>
        <w:t xml:space="preserve"> some of </w:t>
      </w:r>
      <w:r w:rsidRPr="6A4BF06F">
        <w:rPr>
          <w:color w:val="000000" w:themeColor="text1"/>
        </w:rPr>
        <w:t>WICS’ operational costs.</w:t>
      </w:r>
    </w:p>
    <w:p w14:paraId="6491E9D2" w14:textId="77777777" w:rsidR="00A6297A" w:rsidRPr="00A6297A" w:rsidRDefault="00A6297A" w:rsidP="00A6297A">
      <w:pPr>
        <w:autoSpaceDE w:val="0"/>
        <w:autoSpaceDN w:val="0"/>
        <w:adjustRightInd w:val="0"/>
        <w:spacing w:line="23" w:lineRule="atLeast"/>
        <w:jc w:val="both"/>
        <w:rPr>
          <w:rFonts w:cstheme="minorHAnsi"/>
          <w:b/>
          <w:bCs/>
          <w:color w:val="000000" w:themeColor="text1"/>
          <w:szCs w:val="24"/>
        </w:rPr>
      </w:pPr>
    </w:p>
    <w:p w14:paraId="4CC41A6B" w14:textId="77777777" w:rsidR="00A6297A" w:rsidRPr="00A6297A" w:rsidRDefault="00A6297A" w:rsidP="00A6297A">
      <w:pPr>
        <w:autoSpaceDE w:val="0"/>
        <w:autoSpaceDN w:val="0"/>
        <w:adjustRightInd w:val="0"/>
        <w:spacing w:line="23" w:lineRule="atLeast"/>
        <w:jc w:val="both"/>
        <w:rPr>
          <w:rFonts w:asciiTheme="majorHAnsi" w:eastAsiaTheme="majorEastAsia" w:hAnsiTheme="majorHAnsi" w:cstheme="majorBidi"/>
          <w:color w:val="5F7577" w:themeColor="accent2"/>
          <w:sz w:val="28"/>
          <w:szCs w:val="28"/>
        </w:rPr>
      </w:pPr>
      <w:r w:rsidRPr="00A6297A">
        <w:rPr>
          <w:rFonts w:asciiTheme="majorHAnsi" w:eastAsiaTheme="majorEastAsia" w:hAnsiTheme="majorHAnsi" w:cstheme="majorBidi"/>
          <w:color w:val="5F7577" w:themeColor="accent2"/>
          <w:sz w:val="28"/>
          <w:szCs w:val="28"/>
        </w:rPr>
        <w:t>Promoting a resilient Retail market</w:t>
      </w:r>
    </w:p>
    <w:p w14:paraId="1A3661C0"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r w:rsidRPr="00A6297A">
        <w:rPr>
          <w:rFonts w:cstheme="minorHAnsi"/>
          <w:color w:val="000000" w:themeColor="text1"/>
          <w:szCs w:val="24"/>
        </w:rPr>
        <w:t>WICS strengthened Scotland’s competitive retail water market by implementing financial resilience standards for licensed providers, safeguarding the sector’s stability. All active retailers have adopted the new license conditions, enhancing market integrity and consumer protection.</w:t>
      </w:r>
    </w:p>
    <w:p w14:paraId="3350C54A" w14:textId="77777777" w:rsidR="00A6297A" w:rsidRPr="00A6297A" w:rsidRDefault="00A6297A" w:rsidP="00A6297A">
      <w:pPr>
        <w:pStyle w:val="ListParagraph"/>
        <w:autoSpaceDE w:val="0"/>
        <w:autoSpaceDN w:val="0"/>
        <w:adjustRightInd w:val="0"/>
        <w:spacing w:line="23" w:lineRule="atLeast"/>
        <w:jc w:val="both"/>
        <w:rPr>
          <w:rFonts w:cstheme="minorHAnsi"/>
          <w:color w:val="000000" w:themeColor="text1"/>
          <w:szCs w:val="24"/>
        </w:rPr>
      </w:pPr>
    </w:p>
    <w:p w14:paraId="3CAD66C0" w14:textId="77777777" w:rsidR="00A6297A" w:rsidRPr="00A6297A" w:rsidRDefault="00A6297A" w:rsidP="00A6297A">
      <w:pPr>
        <w:autoSpaceDE w:val="0"/>
        <w:autoSpaceDN w:val="0"/>
        <w:adjustRightInd w:val="0"/>
        <w:spacing w:line="23" w:lineRule="atLeast"/>
        <w:jc w:val="both"/>
        <w:rPr>
          <w:rFonts w:cstheme="minorHAnsi"/>
          <w:color w:val="000000" w:themeColor="text1"/>
          <w:szCs w:val="24"/>
        </w:rPr>
      </w:pPr>
      <w:r w:rsidRPr="00A6297A">
        <w:rPr>
          <w:rFonts w:cstheme="minorHAnsi"/>
          <w:color w:val="000000" w:themeColor="text1"/>
          <w:szCs w:val="24"/>
        </w:rPr>
        <w:t>By embedding sustainability and resilience in Scotland’s water industry, WICS has ensured progress toward a model that benefits customers, communities, and the environment while fostering sustainable economic growth.</w:t>
      </w:r>
    </w:p>
    <w:p w14:paraId="56457E1A" w14:textId="65ABEDCB" w:rsidR="001C7285" w:rsidRPr="00F367EF" w:rsidRDefault="001C7285" w:rsidP="00F367EF">
      <w:r w:rsidRPr="00F367EF">
        <w:t xml:space="preserve">  </w:t>
      </w:r>
    </w:p>
    <w:p w14:paraId="32C75611" w14:textId="70E9A497" w:rsidR="007E7292" w:rsidRPr="00C723B4" w:rsidRDefault="007E7292" w:rsidP="00C723B4">
      <w:pPr>
        <w:pStyle w:val="Heading10"/>
        <w:numPr>
          <w:ilvl w:val="0"/>
          <w:numId w:val="31"/>
        </w:numPr>
        <w:rPr>
          <w:b/>
          <w:bCs/>
          <w:sz w:val="40"/>
          <w:szCs w:val="40"/>
        </w:rPr>
      </w:pPr>
      <w:bookmarkStart w:id="3" w:name="_Toc184223602"/>
      <w:bookmarkStart w:id="4" w:name="_Toc184223603"/>
      <w:bookmarkEnd w:id="3"/>
      <w:r w:rsidRPr="00C723B4">
        <w:rPr>
          <w:b/>
          <w:bCs/>
          <w:sz w:val="40"/>
          <w:szCs w:val="40"/>
        </w:rPr>
        <w:lastRenderedPageBreak/>
        <w:t>Steps to improve efficiency, effectiveness and economy</w:t>
      </w:r>
      <w:bookmarkEnd w:id="4"/>
    </w:p>
    <w:p w14:paraId="0F11DEA4" w14:textId="77777777" w:rsidR="00F01F90" w:rsidRDefault="00F01F90" w:rsidP="0021495F">
      <w:pPr>
        <w:jc w:val="both"/>
      </w:pPr>
      <w:r w:rsidRPr="00F01F90">
        <w:t>Section 32(1)(b) of the Public Services Reform (Scotland) Act 2010 requires public bodies to describe actions taken to enhance efficiency, effectiveness, and economy in their operations.</w:t>
      </w:r>
    </w:p>
    <w:p w14:paraId="6E27EF37" w14:textId="77777777" w:rsidR="00F01F90" w:rsidRPr="00F01F90" w:rsidRDefault="00F01F90" w:rsidP="0021495F">
      <w:pPr>
        <w:jc w:val="both"/>
      </w:pPr>
    </w:p>
    <w:p w14:paraId="3B96E988" w14:textId="7757A0B7" w:rsidR="00F01F90" w:rsidRPr="00F01F90" w:rsidRDefault="00F01F90" w:rsidP="0021495F">
      <w:pPr>
        <w:autoSpaceDE w:val="0"/>
        <w:autoSpaceDN w:val="0"/>
        <w:adjustRightInd w:val="0"/>
        <w:spacing w:line="23" w:lineRule="atLeast"/>
        <w:jc w:val="both"/>
        <w:rPr>
          <w:rFonts w:asciiTheme="majorHAnsi" w:eastAsiaTheme="majorEastAsia" w:hAnsiTheme="majorHAnsi" w:cstheme="majorBidi"/>
          <w:color w:val="5F7577" w:themeColor="accent2"/>
          <w:sz w:val="28"/>
          <w:szCs w:val="28"/>
        </w:rPr>
      </w:pPr>
      <w:r w:rsidRPr="00F01F90">
        <w:rPr>
          <w:rFonts w:asciiTheme="majorHAnsi" w:eastAsiaTheme="majorEastAsia" w:hAnsiTheme="majorHAnsi" w:cstheme="majorBidi"/>
          <w:color w:val="5F7577" w:themeColor="accent2"/>
          <w:sz w:val="28"/>
          <w:szCs w:val="28"/>
        </w:rPr>
        <w:t xml:space="preserve">Governance and </w:t>
      </w:r>
      <w:r>
        <w:rPr>
          <w:rFonts w:asciiTheme="majorHAnsi" w:eastAsiaTheme="majorEastAsia" w:hAnsiTheme="majorHAnsi" w:cstheme="majorBidi"/>
          <w:color w:val="5F7577" w:themeColor="accent2"/>
          <w:sz w:val="28"/>
          <w:szCs w:val="28"/>
        </w:rPr>
        <w:t>f</w:t>
      </w:r>
      <w:r w:rsidRPr="00F01F90">
        <w:rPr>
          <w:rFonts w:asciiTheme="majorHAnsi" w:eastAsiaTheme="majorEastAsia" w:hAnsiTheme="majorHAnsi" w:cstheme="majorBidi"/>
          <w:color w:val="5F7577" w:themeColor="accent2"/>
          <w:sz w:val="28"/>
          <w:szCs w:val="28"/>
        </w:rPr>
        <w:t xml:space="preserve">inancial </w:t>
      </w:r>
      <w:r>
        <w:rPr>
          <w:rFonts w:asciiTheme="majorHAnsi" w:eastAsiaTheme="majorEastAsia" w:hAnsiTheme="majorHAnsi" w:cstheme="majorBidi"/>
          <w:color w:val="5F7577" w:themeColor="accent2"/>
          <w:sz w:val="28"/>
          <w:szCs w:val="28"/>
        </w:rPr>
        <w:t>c</w:t>
      </w:r>
      <w:r w:rsidRPr="00F01F90">
        <w:rPr>
          <w:rFonts w:asciiTheme="majorHAnsi" w:eastAsiaTheme="majorEastAsia" w:hAnsiTheme="majorHAnsi" w:cstheme="majorBidi"/>
          <w:color w:val="5F7577" w:themeColor="accent2"/>
          <w:sz w:val="28"/>
          <w:szCs w:val="28"/>
        </w:rPr>
        <w:t>ontrols</w:t>
      </w:r>
    </w:p>
    <w:p w14:paraId="4124EEDC" w14:textId="46B91940" w:rsidR="00F01F90" w:rsidRPr="00F01F90" w:rsidRDefault="00F01F90" w:rsidP="0021495F">
      <w:pPr>
        <w:jc w:val="both"/>
      </w:pPr>
      <w:r w:rsidRPr="00F01F90">
        <w:t>Following the Section 22 report on 2022-23 operations, WICS implemented wide-ranging improvements to its governance framework and financial management practices.</w:t>
      </w:r>
      <w:r>
        <w:t xml:space="preserve"> This included revising the</w:t>
      </w:r>
      <w:r w:rsidRPr="00F01F90">
        <w:t xml:space="preserve"> expense policies to include stricter controls and prohibitions on certain expenditures (e.g., alcohol claims)</w:t>
      </w:r>
      <w:r>
        <w:t xml:space="preserve"> and introducing</w:t>
      </w:r>
      <w:r w:rsidRPr="00F01F90">
        <w:t xml:space="preserve"> an internal approval panel to rigorously scrutini</w:t>
      </w:r>
      <w:r>
        <w:t>s</w:t>
      </w:r>
      <w:r w:rsidRPr="00F01F90">
        <w:t>e expenditures, ensuring compliance with the Scottish Public Finance Manual (SPFM).</w:t>
      </w:r>
      <w:r w:rsidR="00D122BF">
        <w:t xml:space="preserve"> The impact of these changes </w:t>
      </w:r>
      <w:r w:rsidR="00743C9B">
        <w:t>was</w:t>
      </w:r>
      <w:r w:rsidR="00D122BF">
        <w:t xml:space="preserve"> demonstrated in the final quarter of 2023-24, with </w:t>
      </w:r>
      <w:r w:rsidR="00743C9B">
        <w:t>no issues being identified by the external audit team</w:t>
      </w:r>
      <w:r w:rsidR="00735F8A">
        <w:t xml:space="preserve"> during this period</w:t>
      </w:r>
      <w:r w:rsidR="00743C9B">
        <w:t>.</w:t>
      </w:r>
    </w:p>
    <w:p w14:paraId="40EC4A3C" w14:textId="0A7EFB99" w:rsidR="00F01F90" w:rsidRPr="00F01F90" w:rsidRDefault="00F01F90" w:rsidP="0021495F">
      <w:pPr>
        <w:ind w:left="720"/>
        <w:jc w:val="both"/>
      </w:pPr>
    </w:p>
    <w:p w14:paraId="43E8B13E" w14:textId="7EE0547C" w:rsidR="00F01F90" w:rsidRPr="00F01F90" w:rsidRDefault="00F01F90" w:rsidP="0021495F">
      <w:pPr>
        <w:jc w:val="both"/>
        <w:rPr>
          <w:rFonts w:asciiTheme="majorHAnsi" w:eastAsiaTheme="majorEastAsia" w:hAnsiTheme="majorHAnsi" w:cstheme="majorBidi"/>
          <w:color w:val="5F7577" w:themeColor="accent2"/>
          <w:sz w:val="28"/>
          <w:szCs w:val="28"/>
        </w:rPr>
      </w:pPr>
      <w:r w:rsidRPr="00F01F90">
        <w:rPr>
          <w:rFonts w:asciiTheme="majorHAnsi" w:eastAsiaTheme="majorEastAsia" w:hAnsiTheme="majorHAnsi" w:cstheme="majorBidi"/>
          <w:color w:val="5F7577" w:themeColor="accent2"/>
          <w:sz w:val="28"/>
          <w:szCs w:val="28"/>
        </w:rPr>
        <w:t xml:space="preserve">Operational </w:t>
      </w:r>
      <w:r w:rsidR="00743C9B">
        <w:rPr>
          <w:rFonts w:asciiTheme="majorHAnsi" w:eastAsiaTheme="majorEastAsia" w:hAnsiTheme="majorHAnsi" w:cstheme="majorBidi"/>
          <w:color w:val="5F7577" w:themeColor="accent2"/>
          <w:sz w:val="28"/>
          <w:szCs w:val="28"/>
        </w:rPr>
        <w:t>e</w:t>
      </w:r>
      <w:r w:rsidRPr="00F01F90">
        <w:rPr>
          <w:rFonts w:asciiTheme="majorHAnsi" w:eastAsiaTheme="majorEastAsia" w:hAnsiTheme="majorHAnsi" w:cstheme="majorBidi"/>
          <w:color w:val="5F7577" w:themeColor="accent2"/>
          <w:sz w:val="28"/>
          <w:szCs w:val="28"/>
        </w:rPr>
        <w:t>fficiencies</w:t>
      </w:r>
    </w:p>
    <w:p w14:paraId="696A5119" w14:textId="5F00DC2F" w:rsidR="00F01F90" w:rsidRPr="00F01F90" w:rsidRDefault="00F01F90" w:rsidP="0021495F">
      <w:pPr>
        <w:jc w:val="both"/>
      </w:pPr>
      <w:r w:rsidRPr="00F01F90">
        <w:t>WICS has embraced flexible working models to reduce operational costs and enhance employee productivity.</w:t>
      </w:r>
      <w:r w:rsidR="000351F7" w:rsidRPr="000351F7">
        <w:t xml:space="preserve"> </w:t>
      </w:r>
      <w:r w:rsidR="0021736B">
        <w:t>During the year, WICS continued to develop its hybrid working model and</w:t>
      </w:r>
      <w:r w:rsidRPr="00F01F90">
        <w:t xml:space="preserve"> </w:t>
      </w:r>
      <w:r w:rsidR="00774F9F" w:rsidRPr="000351F7">
        <w:t>r</w:t>
      </w:r>
      <w:r w:rsidRPr="00F01F90">
        <w:t>e-established a physical office presence while maintaining flexible arrangements to reduce overheads and foster collaboration.</w:t>
      </w:r>
    </w:p>
    <w:p w14:paraId="1999B243" w14:textId="77777777" w:rsidR="00EF345C" w:rsidRDefault="00EF345C" w:rsidP="0021495F">
      <w:pPr>
        <w:jc w:val="both"/>
        <w:rPr>
          <w:b/>
          <w:bCs/>
        </w:rPr>
      </w:pPr>
    </w:p>
    <w:p w14:paraId="1B863872" w14:textId="23A70E96" w:rsidR="00F01F90" w:rsidRPr="00F01F90" w:rsidRDefault="00F01F90" w:rsidP="0021495F">
      <w:pPr>
        <w:jc w:val="both"/>
        <w:rPr>
          <w:rFonts w:asciiTheme="majorHAnsi" w:eastAsiaTheme="majorEastAsia" w:hAnsiTheme="majorHAnsi" w:cstheme="majorBidi"/>
          <w:color w:val="5F7577" w:themeColor="accent2"/>
          <w:sz w:val="28"/>
          <w:szCs w:val="28"/>
        </w:rPr>
      </w:pPr>
      <w:r w:rsidRPr="00F01F90">
        <w:rPr>
          <w:rFonts w:asciiTheme="majorHAnsi" w:eastAsiaTheme="majorEastAsia" w:hAnsiTheme="majorHAnsi" w:cstheme="majorBidi"/>
          <w:color w:val="5F7577" w:themeColor="accent2"/>
          <w:sz w:val="28"/>
          <w:szCs w:val="28"/>
        </w:rPr>
        <w:t xml:space="preserve">Advancing </w:t>
      </w:r>
      <w:r w:rsidR="00EF345C">
        <w:rPr>
          <w:rFonts w:asciiTheme="majorHAnsi" w:eastAsiaTheme="majorEastAsia" w:hAnsiTheme="majorHAnsi" w:cstheme="majorBidi"/>
          <w:color w:val="5F7577" w:themeColor="accent2"/>
          <w:sz w:val="28"/>
          <w:szCs w:val="28"/>
        </w:rPr>
        <w:t>v</w:t>
      </w:r>
      <w:r w:rsidRPr="00F01F90">
        <w:rPr>
          <w:rFonts w:asciiTheme="majorHAnsi" w:eastAsiaTheme="majorEastAsia" w:hAnsiTheme="majorHAnsi" w:cstheme="majorBidi"/>
          <w:color w:val="5F7577" w:themeColor="accent2"/>
          <w:sz w:val="28"/>
          <w:szCs w:val="28"/>
        </w:rPr>
        <w:t xml:space="preserve">alue for </w:t>
      </w:r>
      <w:r w:rsidR="00EF345C">
        <w:rPr>
          <w:rFonts w:asciiTheme="majorHAnsi" w:eastAsiaTheme="majorEastAsia" w:hAnsiTheme="majorHAnsi" w:cstheme="majorBidi"/>
          <w:color w:val="5F7577" w:themeColor="accent2"/>
          <w:sz w:val="28"/>
          <w:szCs w:val="28"/>
        </w:rPr>
        <w:t>m</w:t>
      </w:r>
      <w:r w:rsidRPr="00F01F90">
        <w:rPr>
          <w:rFonts w:asciiTheme="majorHAnsi" w:eastAsiaTheme="majorEastAsia" w:hAnsiTheme="majorHAnsi" w:cstheme="majorBidi"/>
          <w:color w:val="5F7577" w:themeColor="accent2"/>
          <w:sz w:val="28"/>
          <w:szCs w:val="28"/>
        </w:rPr>
        <w:t>oney</w:t>
      </w:r>
    </w:p>
    <w:p w14:paraId="60FC87DD" w14:textId="7D649079" w:rsidR="00F01F90" w:rsidRPr="00F01F90" w:rsidRDefault="00F01F90" w:rsidP="0021495F">
      <w:pPr>
        <w:jc w:val="both"/>
      </w:pPr>
      <w:r w:rsidRPr="00F01F90">
        <w:t xml:space="preserve">WICS embedded </w:t>
      </w:r>
      <w:r w:rsidR="00B426E3">
        <w:t>value-for-money</w:t>
      </w:r>
      <w:r w:rsidRPr="00F01F90">
        <w:t xml:space="preserve"> principles across its operations, ensuring all activities align with public sector best practices.</w:t>
      </w:r>
      <w:r w:rsidR="00652AAA">
        <w:t xml:space="preserve"> </w:t>
      </w:r>
      <w:r w:rsidR="00EF345C" w:rsidRPr="00652AAA">
        <w:t xml:space="preserve">This was achieved </w:t>
      </w:r>
      <w:r w:rsidR="00735F8A">
        <w:t>by delivering</w:t>
      </w:r>
      <w:r w:rsidRPr="00F01F90">
        <w:t xml:space="preserve"> targeted training sessions </w:t>
      </w:r>
      <w:r w:rsidR="00447493">
        <w:t xml:space="preserve">on best practices in line with </w:t>
      </w:r>
      <w:r w:rsidR="00652AAA">
        <w:t xml:space="preserve">the revised financial policies and procedures. </w:t>
      </w:r>
    </w:p>
    <w:p w14:paraId="090CD923" w14:textId="77777777" w:rsidR="007B000E" w:rsidRDefault="007B000E" w:rsidP="0021495F">
      <w:pPr>
        <w:jc w:val="both"/>
        <w:rPr>
          <w:b/>
          <w:bCs/>
        </w:rPr>
      </w:pPr>
    </w:p>
    <w:p w14:paraId="1E0F8295" w14:textId="2F27BDCF" w:rsidR="00F01F90" w:rsidRPr="00F01F90" w:rsidRDefault="00F01F90" w:rsidP="0021495F">
      <w:pPr>
        <w:jc w:val="both"/>
        <w:rPr>
          <w:rFonts w:asciiTheme="majorHAnsi" w:eastAsiaTheme="majorEastAsia" w:hAnsiTheme="majorHAnsi" w:cstheme="majorBidi"/>
          <w:color w:val="5F7577" w:themeColor="accent2"/>
          <w:sz w:val="28"/>
          <w:szCs w:val="28"/>
        </w:rPr>
      </w:pPr>
      <w:r w:rsidRPr="00F01F90">
        <w:rPr>
          <w:rFonts w:asciiTheme="majorHAnsi" w:eastAsiaTheme="majorEastAsia" w:hAnsiTheme="majorHAnsi" w:cstheme="majorBidi"/>
          <w:color w:val="5F7577" w:themeColor="accent2"/>
          <w:sz w:val="28"/>
          <w:szCs w:val="28"/>
        </w:rPr>
        <w:t xml:space="preserve">Environmental </w:t>
      </w:r>
      <w:r w:rsidR="007B000E">
        <w:rPr>
          <w:rFonts w:asciiTheme="majorHAnsi" w:eastAsiaTheme="majorEastAsia" w:hAnsiTheme="majorHAnsi" w:cstheme="majorBidi"/>
          <w:color w:val="5F7577" w:themeColor="accent2"/>
          <w:sz w:val="28"/>
          <w:szCs w:val="28"/>
        </w:rPr>
        <w:t>s</w:t>
      </w:r>
      <w:r w:rsidRPr="00F01F90">
        <w:rPr>
          <w:rFonts w:asciiTheme="majorHAnsi" w:eastAsiaTheme="majorEastAsia" w:hAnsiTheme="majorHAnsi" w:cstheme="majorBidi"/>
          <w:color w:val="5F7577" w:themeColor="accent2"/>
          <w:sz w:val="28"/>
          <w:szCs w:val="28"/>
        </w:rPr>
        <w:t>ustainability</w:t>
      </w:r>
    </w:p>
    <w:p w14:paraId="3E060454" w14:textId="77777777" w:rsidR="00E17BBD" w:rsidRDefault="001D51F1" w:rsidP="0021495F">
      <w:pPr>
        <w:jc w:val="both"/>
      </w:pPr>
      <w:r>
        <w:t xml:space="preserve">As the project in New Zealand drew to a close, WICS saw a substantial reduction </w:t>
      </w:r>
      <w:r w:rsidR="00C90F5C">
        <w:t xml:space="preserve">in travel. </w:t>
      </w:r>
      <w:r>
        <w:t>T</w:t>
      </w:r>
      <w:r w:rsidR="00542891">
        <w:t xml:space="preserve">otal travel emissions </w:t>
      </w:r>
      <w:r w:rsidR="00E17BBD">
        <w:t>were reduced to 0.6 tonnes of CO2 in 2023-24 from 14.2 tonnes in 2022-23. This reduction has not impacted WICS’ operational standards and contributes to Scotland’s climate targets.</w:t>
      </w:r>
    </w:p>
    <w:p w14:paraId="1AAD1FB3" w14:textId="77777777" w:rsidR="00E17BBD" w:rsidRDefault="00E17BBD" w:rsidP="0021495F">
      <w:pPr>
        <w:jc w:val="both"/>
      </w:pPr>
    </w:p>
    <w:p w14:paraId="1F66B95E" w14:textId="1181A7EA" w:rsidR="00F01F90" w:rsidRPr="00F01F90" w:rsidRDefault="00F01F90" w:rsidP="0021495F">
      <w:pPr>
        <w:jc w:val="both"/>
        <w:rPr>
          <w:rFonts w:asciiTheme="majorHAnsi" w:eastAsiaTheme="majorEastAsia" w:hAnsiTheme="majorHAnsi" w:cstheme="majorBidi"/>
          <w:color w:val="5F7577" w:themeColor="accent2"/>
          <w:sz w:val="28"/>
          <w:szCs w:val="28"/>
        </w:rPr>
      </w:pPr>
      <w:r w:rsidRPr="00F01F90">
        <w:rPr>
          <w:rFonts w:asciiTheme="majorHAnsi" w:eastAsiaTheme="majorEastAsia" w:hAnsiTheme="majorHAnsi" w:cstheme="majorBidi"/>
          <w:color w:val="5F7577" w:themeColor="accent2"/>
          <w:sz w:val="28"/>
          <w:szCs w:val="28"/>
        </w:rPr>
        <w:t xml:space="preserve">Transparency and </w:t>
      </w:r>
      <w:r w:rsidR="00E17BBD">
        <w:rPr>
          <w:rFonts w:asciiTheme="majorHAnsi" w:eastAsiaTheme="majorEastAsia" w:hAnsiTheme="majorHAnsi" w:cstheme="majorBidi"/>
          <w:color w:val="5F7577" w:themeColor="accent2"/>
          <w:sz w:val="28"/>
          <w:szCs w:val="28"/>
        </w:rPr>
        <w:t>a</w:t>
      </w:r>
      <w:r w:rsidRPr="00F01F90">
        <w:rPr>
          <w:rFonts w:asciiTheme="majorHAnsi" w:eastAsiaTheme="majorEastAsia" w:hAnsiTheme="majorHAnsi" w:cstheme="majorBidi"/>
          <w:color w:val="5F7577" w:themeColor="accent2"/>
          <w:sz w:val="28"/>
          <w:szCs w:val="28"/>
        </w:rPr>
        <w:t>ccountability</w:t>
      </w:r>
    </w:p>
    <w:p w14:paraId="07FD84B3" w14:textId="77777777" w:rsidR="00121301" w:rsidRDefault="00121301" w:rsidP="0021495F">
      <w:pPr>
        <w:jc w:val="both"/>
      </w:pPr>
      <w:r w:rsidRPr="00121301">
        <w:t>WICS has upheld transparency and accountability as central pillars of its operations, continuously striving to improve governance and stakeholder engagement.</w:t>
      </w:r>
    </w:p>
    <w:p w14:paraId="7482D968" w14:textId="77777777" w:rsidR="00B7212A" w:rsidRPr="00121301" w:rsidRDefault="00B7212A" w:rsidP="0021495F">
      <w:pPr>
        <w:jc w:val="both"/>
      </w:pPr>
    </w:p>
    <w:p w14:paraId="23D86E4B" w14:textId="168C0768" w:rsidR="00121301" w:rsidRDefault="00121301" w:rsidP="0021495F">
      <w:pPr>
        <w:jc w:val="both"/>
      </w:pPr>
      <w:r w:rsidRPr="00121301">
        <w:t xml:space="preserve">In response to the Section 22 report, WICS conducted comprehensive internal reviews to </w:t>
      </w:r>
      <w:r w:rsidR="00B7212A">
        <w:t xml:space="preserve">proactively </w:t>
      </w:r>
      <w:r w:rsidRPr="00121301">
        <w:t>identify instances where best practices were not followed. These reviews carried out in collaboration with the internal audit team, have informed targeted actions to address identified issues and strengthen internal controls.</w:t>
      </w:r>
    </w:p>
    <w:p w14:paraId="321116E9" w14:textId="77777777" w:rsidR="00D679DD" w:rsidRPr="00121301" w:rsidRDefault="00D679DD" w:rsidP="0021495F">
      <w:pPr>
        <w:jc w:val="both"/>
      </w:pPr>
    </w:p>
    <w:p w14:paraId="410BED9E" w14:textId="0A63DB0B" w:rsidR="00121301" w:rsidRPr="00121301" w:rsidRDefault="00121301" w:rsidP="0021495F">
      <w:pPr>
        <w:jc w:val="both"/>
      </w:pPr>
      <w:r w:rsidRPr="00121301">
        <w:t xml:space="preserve">WICS actively engaged with the Public Audit Committee, attending sessions and providing evidence </w:t>
      </w:r>
      <w:r w:rsidR="00D679DD">
        <w:t>demonstrating</w:t>
      </w:r>
      <w:r w:rsidRPr="00121301">
        <w:t xml:space="preserve"> its commitment to accountability and continuous improvement.</w:t>
      </w:r>
    </w:p>
    <w:p w14:paraId="1E3235C7" w14:textId="77777777" w:rsidR="00D679DD" w:rsidRDefault="00D679DD" w:rsidP="0021495F">
      <w:pPr>
        <w:jc w:val="both"/>
      </w:pPr>
    </w:p>
    <w:p w14:paraId="01A78CFC" w14:textId="47CF7A81" w:rsidR="00121301" w:rsidRDefault="00D679DD" w:rsidP="0021495F">
      <w:pPr>
        <w:jc w:val="both"/>
      </w:pPr>
      <w:r>
        <w:t>WICS published Scottish Water’s 2022-23 performance report as part of its regulatory responsibilities</w:t>
      </w:r>
      <w:r w:rsidR="00121301" w:rsidRPr="00121301">
        <w:t xml:space="preserve">, incorporating enhanced metrics </w:t>
      </w:r>
      <w:r>
        <w:t>to assess service delivery and investment outcomes better</w:t>
      </w:r>
      <w:r w:rsidR="00121301" w:rsidRPr="00121301">
        <w:t>. Additionally, WICS worked closely with key stakeholders during the drafting process for the Strategic Review of Charges (SRC) methodology for the 2027-33 period, ensuring an inclusive and consultative approach.</w:t>
      </w:r>
    </w:p>
    <w:p w14:paraId="4A425844" w14:textId="77777777" w:rsidR="00D679DD" w:rsidRPr="00121301" w:rsidRDefault="00D679DD" w:rsidP="0021495F">
      <w:pPr>
        <w:jc w:val="both"/>
      </w:pPr>
    </w:p>
    <w:p w14:paraId="13D85712" w14:textId="77777777" w:rsidR="00121301" w:rsidRPr="00121301" w:rsidRDefault="00121301" w:rsidP="0021495F">
      <w:pPr>
        <w:jc w:val="both"/>
      </w:pPr>
      <w:r w:rsidRPr="00121301">
        <w:t>This year, WICS also focused on strengthening the competitive retail market by encouraging licensed providers to take ownership of a Code of Practice. To support this initiative, WICS established a Steering Group in partnership with Consumer Scotland and the Central Market Agency. Together, they worked to develop the Code of Practice and its assurance process, fostering greater resilience and accountability within the retail market.</w:t>
      </w:r>
    </w:p>
    <w:p w14:paraId="51A1D4DF" w14:textId="77777777" w:rsidR="00257CE8" w:rsidRDefault="00257CE8" w:rsidP="0021495F">
      <w:pPr>
        <w:jc w:val="both"/>
      </w:pPr>
    </w:p>
    <w:p w14:paraId="2D15F88B" w14:textId="77777777" w:rsidR="00987B8C" w:rsidRDefault="00987B8C" w:rsidP="0021495F">
      <w:pPr>
        <w:jc w:val="both"/>
        <w:rPr>
          <w:spacing w:val="-2"/>
        </w:rPr>
      </w:pPr>
    </w:p>
    <w:p w14:paraId="011FFF38" w14:textId="77777777" w:rsidR="00987B8C" w:rsidRDefault="00987B8C" w:rsidP="0021495F">
      <w:pPr>
        <w:jc w:val="both"/>
      </w:pPr>
    </w:p>
    <w:p w14:paraId="67F11CC6" w14:textId="0C308434" w:rsidR="007E7292" w:rsidRDefault="007E7292" w:rsidP="0021495F">
      <w:pPr>
        <w:spacing w:after="160" w:line="259" w:lineRule="auto"/>
        <w:jc w:val="both"/>
        <w:rPr>
          <w:color w:val="5F7577" w:themeColor="accent2"/>
          <w:sz w:val="32"/>
          <w:szCs w:val="28"/>
        </w:rPr>
      </w:pPr>
    </w:p>
    <w:p w14:paraId="4BA83001" w14:textId="77777777" w:rsidR="00BC0250" w:rsidRDefault="00BC0250" w:rsidP="0021495F">
      <w:pPr>
        <w:spacing w:after="160" w:line="259" w:lineRule="auto"/>
        <w:jc w:val="both"/>
        <w:rPr>
          <w:color w:val="5F7577" w:themeColor="accent2"/>
          <w:sz w:val="32"/>
          <w:szCs w:val="28"/>
        </w:rPr>
      </w:pPr>
    </w:p>
    <w:p w14:paraId="484994D4" w14:textId="77777777" w:rsidR="00BC0250" w:rsidRDefault="00BC0250" w:rsidP="0021495F">
      <w:pPr>
        <w:spacing w:after="160" w:line="259" w:lineRule="auto"/>
        <w:jc w:val="both"/>
        <w:rPr>
          <w:color w:val="5F7577" w:themeColor="accent2"/>
          <w:sz w:val="32"/>
          <w:szCs w:val="28"/>
        </w:rPr>
      </w:pPr>
    </w:p>
    <w:p w14:paraId="2519A587" w14:textId="77777777" w:rsidR="00BC0250" w:rsidRDefault="00BC0250" w:rsidP="0021495F">
      <w:pPr>
        <w:spacing w:after="160" w:line="259" w:lineRule="auto"/>
        <w:jc w:val="both"/>
        <w:rPr>
          <w:color w:val="5F7577" w:themeColor="accent2"/>
          <w:sz w:val="32"/>
          <w:szCs w:val="28"/>
        </w:rPr>
      </w:pPr>
    </w:p>
    <w:p w14:paraId="57B71991" w14:textId="77777777" w:rsidR="00BC0250" w:rsidRDefault="00BC0250">
      <w:pPr>
        <w:spacing w:after="160" w:line="259" w:lineRule="auto"/>
        <w:rPr>
          <w:color w:val="5F7577" w:themeColor="accent2"/>
          <w:sz w:val="32"/>
          <w:szCs w:val="28"/>
        </w:rPr>
      </w:pPr>
    </w:p>
    <w:p w14:paraId="6D09B6B9" w14:textId="77777777" w:rsidR="00BC0250" w:rsidRDefault="00BC0250">
      <w:pPr>
        <w:spacing w:after="160" w:line="259" w:lineRule="auto"/>
        <w:rPr>
          <w:color w:val="5F7577" w:themeColor="accent2"/>
          <w:sz w:val="32"/>
          <w:szCs w:val="28"/>
        </w:rPr>
      </w:pPr>
    </w:p>
    <w:p w14:paraId="1DD2CDE3" w14:textId="77777777" w:rsidR="00BC0250" w:rsidRDefault="00BC0250">
      <w:pPr>
        <w:spacing w:after="160" w:line="259" w:lineRule="auto"/>
        <w:rPr>
          <w:color w:val="5F7577" w:themeColor="accent2"/>
          <w:sz w:val="32"/>
          <w:szCs w:val="28"/>
        </w:rPr>
      </w:pPr>
    </w:p>
    <w:p w14:paraId="5CF7343C" w14:textId="77777777" w:rsidR="00C723B4" w:rsidRDefault="00C723B4">
      <w:pPr>
        <w:spacing w:after="160" w:line="259" w:lineRule="auto"/>
        <w:rPr>
          <w:color w:val="5F7577" w:themeColor="accent2"/>
          <w:sz w:val="32"/>
          <w:szCs w:val="28"/>
        </w:rPr>
      </w:pPr>
    </w:p>
    <w:p w14:paraId="5ADFCD43" w14:textId="77777777" w:rsidR="00C723B4" w:rsidRDefault="00C723B4">
      <w:pPr>
        <w:spacing w:after="160" w:line="259" w:lineRule="auto"/>
        <w:rPr>
          <w:color w:val="5F7577" w:themeColor="accent2"/>
          <w:sz w:val="32"/>
          <w:szCs w:val="28"/>
        </w:rPr>
      </w:pPr>
    </w:p>
    <w:p w14:paraId="287776CB" w14:textId="77777777" w:rsidR="00C723B4" w:rsidRDefault="00C723B4">
      <w:pPr>
        <w:spacing w:after="160" w:line="259" w:lineRule="auto"/>
        <w:rPr>
          <w:color w:val="5F7577" w:themeColor="accent2"/>
          <w:sz w:val="32"/>
          <w:szCs w:val="28"/>
        </w:rPr>
      </w:pPr>
    </w:p>
    <w:p w14:paraId="0337C66E" w14:textId="77777777" w:rsidR="00BC0250" w:rsidRDefault="00BC0250">
      <w:pPr>
        <w:spacing w:after="160" w:line="259" w:lineRule="auto"/>
        <w:rPr>
          <w:color w:val="5F7577" w:themeColor="accent2"/>
          <w:sz w:val="32"/>
          <w:szCs w:val="28"/>
        </w:rPr>
      </w:pPr>
    </w:p>
    <w:p w14:paraId="3CB36C96" w14:textId="77777777" w:rsidR="00BC0250" w:rsidRDefault="00BC0250">
      <w:pPr>
        <w:spacing w:after="160" w:line="259" w:lineRule="auto"/>
        <w:rPr>
          <w:color w:val="5F7577" w:themeColor="accent2"/>
          <w:sz w:val="32"/>
          <w:szCs w:val="28"/>
        </w:rPr>
      </w:pPr>
    </w:p>
    <w:p w14:paraId="4DBC0CC9" w14:textId="3D5A7788" w:rsidR="007E7292" w:rsidRPr="00C723B4" w:rsidRDefault="007E7292" w:rsidP="00C723B4">
      <w:pPr>
        <w:pStyle w:val="Heading10"/>
        <w:numPr>
          <w:ilvl w:val="0"/>
          <w:numId w:val="31"/>
        </w:numPr>
        <w:rPr>
          <w:b/>
          <w:bCs/>
          <w:sz w:val="40"/>
          <w:szCs w:val="40"/>
        </w:rPr>
      </w:pPr>
      <w:bookmarkStart w:id="5" w:name="_Toc184223604"/>
      <w:r w:rsidRPr="00C723B4">
        <w:rPr>
          <w:b/>
          <w:bCs/>
          <w:sz w:val="40"/>
          <w:szCs w:val="40"/>
        </w:rPr>
        <w:lastRenderedPageBreak/>
        <w:t>Expenditure information</w:t>
      </w:r>
      <w:bookmarkEnd w:id="5"/>
    </w:p>
    <w:p w14:paraId="4E363A3F" w14:textId="608B1A87" w:rsidR="007C1BEF" w:rsidRDefault="007C1BEF" w:rsidP="007C1BEF">
      <w:pPr>
        <w:spacing w:line="240" w:lineRule="auto"/>
        <w:jc w:val="both"/>
        <w:rPr>
          <w:rFonts w:cstheme="minorHAnsi"/>
          <w:color w:val="000000" w:themeColor="text1"/>
          <w:szCs w:val="20"/>
        </w:rPr>
      </w:pPr>
      <w:r w:rsidRPr="007C1BEF">
        <w:rPr>
          <w:rFonts w:cstheme="minorHAnsi"/>
          <w:color w:val="000000" w:themeColor="text1"/>
          <w:szCs w:val="20"/>
        </w:rPr>
        <w:t xml:space="preserve">All </w:t>
      </w:r>
      <w:r w:rsidR="00BC0250">
        <w:rPr>
          <w:rFonts w:cstheme="minorHAnsi"/>
          <w:color w:val="000000" w:themeColor="text1"/>
          <w:szCs w:val="20"/>
        </w:rPr>
        <w:t>expenditures</w:t>
      </w:r>
      <w:r w:rsidRPr="007C1BEF">
        <w:rPr>
          <w:rFonts w:cstheme="minorHAnsi"/>
          <w:color w:val="000000" w:themeColor="text1"/>
          <w:szCs w:val="20"/>
        </w:rPr>
        <w:t xml:space="preserve"> disclosed in the sections below include VAT. </w:t>
      </w:r>
    </w:p>
    <w:p w14:paraId="699AAE2F" w14:textId="77777777" w:rsidR="007C1BEF" w:rsidRPr="007C1BEF" w:rsidRDefault="007C1BEF" w:rsidP="007C1BEF">
      <w:pPr>
        <w:spacing w:line="240" w:lineRule="auto"/>
        <w:jc w:val="both"/>
        <w:rPr>
          <w:rFonts w:cstheme="minorHAnsi"/>
          <w:color w:val="000000" w:themeColor="text1"/>
          <w:szCs w:val="20"/>
        </w:rPr>
      </w:pPr>
    </w:p>
    <w:p w14:paraId="3EA33212" w14:textId="3DB27AC8" w:rsidR="007E7292" w:rsidRDefault="00ED0985" w:rsidP="00ED0985">
      <w:pPr>
        <w:pStyle w:val="Heading20"/>
      </w:pPr>
      <w:bookmarkStart w:id="6" w:name="_Toc184223605"/>
      <w:r>
        <w:t xml:space="preserve">3.1 </w:t>
      </w:r>
      <w:r w:rsidR="007E7292">
        <w:t>Public relations</w:t>
      </w:r>
      <w:bookmarkEnd w:id="6"/>
    </w:p>
    <w:p w14:paraId="34B698AD" w14:textId="3BCEE5CC" w:rsidR="007C1BEF" w:rsidRDefault="002E059D" w:rsidP="009F3A14">
      <w:pPr>
        <w:spacing w:line="240" w:lineRule="auto"/>
        <w:jc w:val="both"/>
        <w:rPr>
          <w:rFonts w:cstheme="minorHAnsi"/>
          <w:color w:val="000000" w:themeColor="text1"/>
          <w:szCs w:val="20"/>
        </w:rPr>
      </w:pPr>
      <w:r>
        <w:rPr>
          <w:rFonts w:cstheme="minorHAnsi"/>
          <w:color w:val="000000" w:themeColor="text1"/>
          <w:szCs w:val="20"/>
        </w:rPr>
        <w:t xml:space="preserve">WICS </w:t>
      </w:r>
      <w:r w:rsidR="00D214BB">
        <w:rPr>
          <w:rFonts w:cstheme="minorHAnsi"/>
          <w:color w:val="000000" w:themeColor="text1"/>
          <w:szCs w:val="20"/>
        </w:rPr>
        <w:t>must</w:t>
      </w:r>
      <w:r>
        <w:rPr>
          <w:rFonts w:cstheme="minorHAnsi"/>
          <w:color w:val="000000" w:themeColor="text1"/>
          <w:szCs w:val="20"/>
        </w:rPr>
        <w:t xml:space="preserve"> publish a</w:t>
      </w:r>
      <w:r w:rsidR="007C1BEF">
        <w:rPr>
          <w:rFonts w:cstheme="minorHAnsi"/>
          <w:color w:val="000000" w:themeColor="text1"/>
          <w:szCs w:val="20"/>
        </w:rPr>
        <w:t xml:space="preserve"> statement</w:t>
      </w:r>
      <w:r w:rsidR="007C1BEF" w:rsidRPr="007C1BEF">
        <w:rPr>
          <w:rFonts w:cstheme="minorHAnsi"/>
          <w:color w:val="000000" w:themeColor="text1"/>
          <w:szCs w:val="20"/>
        </w:rPr>
        <w:t xml:space="preserve"> of expenditure during the year on all external communications, including the cost of in-house and contracted staff and consultants. Expenditure on 'public relations' includes (for example) marketing, PR campaigns, media relations, marketing research and evaluation, branding and design, promotional events, external events, conferences and exhibitions, corporate communications, sponsorship, publications and printing, digital communications, advertising and media planning.</w:t>
      </w:r>
    </w:p>
    <w:p w14:paraId="5EE474C9" w14:textId="77777777" w:rsidR="00D84AB1" w:rsidRDefault="00D84AB1" w:rsidP="009F3A14">
      <w:pPr>
        <w:spacing w:line="240" w:lineRule="auto"/>
        <w:jc w:val="both"/>
        <w:rPr>
          <w:rFonts w:cstheme="minorHAnsi"/>
          <w:color w:val="000000" w:themeColor="text1"/>
          <w:szCs w:val="20"/>
        </w:rPr>
      </w:pPr>
    </w:p>
    <w:p w14:paraId="0447F12A" w14:textId="7614876C" w:rsidR="00BC1B3E" w:rsidRPr="00843311" w:rsidRDefault="008F1DD1" w:rsidP="00843311">
      <w:pPr>
        <w:spacing w:line="240" w:lineRule="auto"/>
        <w:jc w:val="both"/>
        <w:rPr>
          <w:rFonts w:cstheme="minorHAnsi"/>
          <w:color w:val="000000" w:themeColor="text1"/>
          <w:szCs w:val="20"/>
        </w:rPr>
      </w:pPr>
      <w:r>
        <w:rPr>
          <w:rFonts w:cstheme="minorHAnsi"/>
          <w:color w:val="000000" w:themeColor="text1"/>
          <w:szCs w:val="20"/>
        </w:rPr>
        <w:t>The following categories of expenditure incurred by WICS relate to</w:t>
      </w:r>
      <w:r w:rsidR="002E059D">
        <w:rPr>
          <w:rFonts w:cstheme="minorHAnsi"/>
          <w:color w:val="000000" w:themeColor="text1"/>
          <w:szCs w:val="20"/>
        </w:rPr>
        <w:t xml:space="preserve"> </w:t>
      </w:r>
      <w:r>
        <w:rPr>
          <w:rFonts w:cstheme="minorHAnsi"/>
          <w:color w:val="000000" w:themeColor="text1"/>
          <w:szCs w:val="20"/>
        </w:rPr>
        <w:t>public relations</w:t>
      </w:r>
      <w:r w:rsidR="002E059D">
        <w:rPr>
          <w:rFonts w:cstheme="minorHAnsi"/>
          <w:color w:val="000000" w:themeColor="text1"/>
          <w:szCs w:val="20"/>
        </w:rPr>
        <w:t>, as defined above</w:t>
      </w:r>
      <w:r>
        <w:rPr>
          <w:rFonts w:cstheme="minorHAnsi"/>
          <w:color w:val="000000" w:themeColor="text1"/>
          <w:szCs w:val="20"/>
        </w:rPr>
        <w:t>.</w:t>
      </w:r>
      <w:r w:rsidR="002E059D">
        <w:rPr>
          <w:rFonts w:cstheme="minorHAnsi"/>
          <w:color w:val="000000" w:themeColor="text1"/>
          <w:szCs w:val="20"/>
        </w:rPr>
        <w:t xml:space="preserve"> </w:t>
      </w:r>
    </w:p>
    <w:tbl>
      <w:tblPr>
        <w:tblStyle w:val="Blueline"/>
        <w:tblW w:w="7740" w:type="dxa"/>
        <w:tblInd w:w="-90" w:type="dxa"/>
        <w:tblLook w:val="04E0" w:firstRow="1" w:lastRow="1" w:firstColumn="1" w:lastColumn="0" w:noHBand="0" w:noVBand="1"/>
      </w:tblPr>
      <w:tblGrid>
        <w:gridCol w:w="4410"/>
        <w:gridCol w:w="1620"/>
        <w:gridCol w:w="1710"/>
      </w:tblGrid>
      <w:tr w:rsidR="00BC1B3E" w14:paraId="5C09736F" w14:textId="77777777" w:rsidTr="00351A9D">
        <w:trPr>
          <w:cnfStyle w:val="100000000000" w:firstRow="1" w:lastRow="0" w:firstColumn="0" w:lastColumn="0" w:oddVBand="0" w:evenVBand="0" w:oddHBand="0" w:evenHBand="0" w:firstRowFirstColumn="0" w:firstRowLastColumn="0" w:lastRowFirstColumn="0" w:lastRowLastColumn="0"/>
        </w:trPr>
        <w:tc>
          <w:tcPr>
            <w:tcW w:w="4410" w:type="dxa"/>
          </w:tcPr>
          <w:p w14:paraId="56FB8AAF" w14:textId="77777777" w:rsidR="00BC1B3E" w:rsidRDefault="00BC1B3E">
            <w:r>
              <w:t>Expenditure type</w:t>
            </w:r>
          </w:p>
        </w:tc>
        <w:tc>
          <w:tcPr>
            <w:tcW w:w="1620" w:type="dxa"/>
          </w:tcPr>
          <w:p w14:paraId="0B043EC8" w14:textId="77777777" w:rsidR="00BC1B3E" w:rsidRPr="009A4B84" w:rsidRDefault="00BC1B3E">
            <w:pPr>
              <w:jc w:val="right"/>
              <w:rPr>
                <w:b w:val="0"/>
              </w:rPr>
            </w:pPr>
            <w:r>
              <w:t>2023-24 (£)</w:t>
            </w:r>
          </w:p>
        </w:tc>
        <w:tc>
          <w:tcPr>
            <w:tcW w:w="1710" w:type="dxa"/>
          </w:tcPr>
          <w:p w14:paraId="3CE94504" w14:textId="77777777" w:rsidR="00BC1B3E" w:rsidRDefault="00BC1B3E">
            <w:pPr>
              <w:jc w:val="right"/>
            </w:pPr>
            <w:r>
              <w:t>2022-23 (£)</w:t>
            </w:r>
          </w:p>
        </w:tc>
      </w:tr>
      <w:tr w:rsidR="00BC1B3E" w14:paraId="7BD632E7" w14:textId="77777777" w:rsidTr="00351A9D">
        <w:tc>
          <w:tcPr>
            <w:tcW w:w="4410" w:type="dxa"/>
          </w:tcPr>
          <w:p w14:paraId="719E4003" w14:textId="67398DEC" w:rsidR="00BC1B3E" w:rsidRDefault="00D214BB">
            <w:r>
              <w:t>External media support</w:t>
            </w:r>
          </w:p>
        </w:tc>
        <w:tc>
          <w:tcPr>
            <w:tcW w:w="1620" w:type="dxa"/>
          </w:tcPr>
          <w:p w14:paraId="5F0AB95C" w14:textId="1BB72159" w:rsidR="00BC1B3E" w:rsidRPr="00676751" w:rsidRDefault="00E11A23">
            <w:pPr>
              <w:jc w:val="right"/>
            </w:pPr>
            <w:r w:rsidRPr="00676751">
              <w:t>26,220</w:t>
            </w:r>
          </w:p>
        </w:tc>
        <w:tc>
          <w:tcPr>
            <w:tcW w:w="1710" w:type="dxa"/>
          </w:tcPr>
          <w:p w14:paraId="3975EB71" w14:textId="26E1F43F" w:rsidR="00BC1B3E" w:rsidRDefault="00AD52FE">
            <w:pPr>
              <w:jc w:val="right"/>
            </w:pPr>
            <w:r>
              <w:t>-</w:t>
            </w:r>
          </w:p>
        </w:tc>
      </w:tr>
      <w:tr w:rsidR="000E6288" w14:paraId="551E7285" w14:textId="77777777" w:rsidTr="00351A9D">
        <w:tc>
          <w:tcPr>
            <w:tcW w:w="4410" w:type="dxa"/>
          </w:tcPr>
          <w:p w14:paraId="72E7D678" w14:textId="2553538C" w:rsidR="000E6288" w:rsidRDefault="000E6288" w:rsidP="000E6288">
            <w:r>
              <w:t>Website hosting</w:t>
            </w:r>
            <w:r w:rsidR="00A97609">
              <w:rPr>
                <w:rStyle w:val="FootnoteReference"/>
              </w:rPr>
              <w:footnoteReference w:id="2"/>
            </w:r>
          </w:p>
        </w:tc>
        <w:tc>
          <w:tcPr>
            <w:tcW w:w="1620" w:type="dxa"/>
          </w:tcPr>
          <w:p w14:paraId="431BB7EC" w14:textId="3E8C6D4E" w:rsidR="000E6288" w:rsidRPr="00676751" w:rsidRDefault="000E6288" w:rsidP="000E6288">
            <w:pPr>
              <w:jc w:val="right"/>
            </w:pPr>
            <w:r w:rsidRPr="00676751">
              <w:t>4,633</w:t>
            </w:r>
          </w:p>
        </w:tc>
        <w:tc>
          <w:tcPr>
            <w:tcW w:w="1710" w:type="dxa"/>
          </w:tcPr>
          <w:p w14:paraId="196BBC2B" w14:textId="2C4A12C4" w:rsidR="000E6288" w:rsidRDefault="000E6288" w:rsidP="000E6288">
            <w:pPr>
              <w:jc w:val="right"/>
            </w:pPr>
            <w:r>
              <w:t>5,948</w:t>
            </w:r>
          </w:p>
        </w:tc>
      </w:tr>
      <w:tr w:rsidR="000E6288" w14:paraId="3742EB17" w14:textId="77777777" w:rsidTr="00351A9D">
        <w:tc>
          <w:tcPr>
            <w:tcW w:w="4410" w:type="dxa"/>
          </w:tcPr>
          <w:p w14:paraId="3C09927D" w14:textId="30BEC358" w:rsidR="000E6288" w:rsidRDefault="000E6288" w:rsidP="000E6288">
            <w:r>
              <w:t>Website development and maintenance</w:t>
            </w:r>
          </w:p>
        </w:tc>
        <w:tc>
          <w:tcPr>
            <w:tcW w:w="1620" w:type="dxa"/>
          </w:tcPr>
          <w:p w14:paraId="5645991B" w14:textId="2158CE27" w:rsidR="000E6288" w:rsidRPr="00676751" w:rsidRDefault="000E6288" w:rsidP="000E6288">
            <w:pPr>
              <w:jc w:val="right"/>
            </w:pPr>
            <w:r w:rsidRPr="00676751">
              <w:t>19,106</w:t>
            </w:r>
          </w:p>
        </w:tc>
        <w:tc>
          <w:tcPr>
            <w:tcW w:w="1710" w:type="dxa"/>
          </w:tcPr>
          <w:p w14:paraId="470F7687" w14:textId="66E97712" w:rsidR="000E6288" w:rsidRDefault="000E6288" w:rsidP="000E6288">
            <w:pPr>
              <w:jc w:val="right"/>
            </w:pPr>
            <w:r>
              <w:t>35,550</w:t>
            </w:r>
          </w:p>
        </w:tc>
      </w:tr>
      <w:tr w:rsidR="000E6288" w14:paraId="799E08D4" w14:textId="77777777" w:rsidTr="00351A9D">
        <w:trPr>
          <w:cnfStyle w:val="010000000000" w:firstRow="0" w:lastRow="1" w:firstColumn="0" w:lastColumn="0" w:oddVBand="0" w:evenVBand="0" w:oddHBand="0" w:evenHBand="0" w:firstRowFirstColumn="0" w:firstRowLastColumn="0" w:lastRowFirstColumn="0" w:lastRowLastColumn="0"/>
        </w:trPr>
        <w:tc>
          <w:tcPr>
            <w:tcW w:w="4410" w:type="dxa"/>
          </w:tcPr>
          <w:p w14:paraId="1D41A73A" w14:textId="4BD2E6E3" w:rsidR="000E6288" w:rsidRDefault="000E6288" w:rsidP="000E6288">
            <w:r>
              <w:t>Publishing</w:t>
            </w:r>
          </w:p>
        </w:tc>
        <w:tc>
          <w:tcPr>
            <w:tcW w:w="1620" w:type="dxa"/>
          </w:tcPr>
          <w:p w14:paraId="7AB915B0" w14:textId="74F05ED0" w:rsidR="000E6288" w:rsidRDefault="000E6288" w:rsidP="000E6288">
            <w:pPr>
              <w:jc w:val="right"/>
            </w:pPr>
            <w:r>
              <w:t>-</w:t>
            </w:r>
          </w:p>
        </w:tc>
        <w:tc>
          <w:tcPr>
            <w:tcW w:w="1710" w:type="dxa"/>
          </w:tcPr>
          <w:p w14:paraId="2981F4EE" w14:textId="44725549" w:rsidR="000E6288" w:rsidRDefault="000E6288" w:rsidP="000E6288">
            <w:pPr>
              <w:jc w:val="right"/>
            </w:pPr>
            <w:r>
              <w:t>2,072</w:t>
            </w:r>
          </w:p>
        </w:tc>
      </w:tr>
    </w:tbl>
    <w:p w14:paraId="7E0B8BCC" w14:textId="77777777" w:rsidR="00BC1B3E" w:rsidRDefault="00BC1B3E" w:rsidP="00BC1B3E"/>
    <w:p w14:paraId="33A4B7C0" w14:textId="660FBB6D" w:rsidR="00057E09" w:rsidRDefault="002B51DF" w:rsidP="00BC1B3E">
      <w:r>
        <w:t xml:space="preserve">No employees at WICS have been employed specifically to </w:t>
      </w:r>
      <w:r w:rsidR="00057E09">
        <w:t>perform a role in any of these areas.</w:t>
      </w:r>
    </w:p>
    <w:p w14:paraId="29D27C12" w14:textId="77777777" w:rsidR="00057E09" w:rsidRPr="00BC1B3E" w:rsidRDefault="00057E09" w:rsidP="00BC1B3E"/>
    <w:p w14:paraId="4D4611D7" w14:textId="6F108ADE" w:rsidR="007E7292" w:rsidRDefault="00ED0985" w:rsidP="00ED0985">
      <w:pPr>
        <w:pStyle w:val="Heading20"/>
      </w:pPr>
      <w:bookmarkStart w:id="7" w:name="_Toc184223606"/>
      <w:r>
        <w:t xml:space="preserve">3.2 </w:t>
      </w:r>
      <w:r w:rsidR="007E7292">
        <w:t>Overseas travel</w:t>
      </w:r>
      <w:bookmarkEnd w:id="7"/>
    </w:p>
    <w:p w14:paraId="759F8E32" w14:textId="27C1BF79" w:rsidR="006824FC" w:rsidRPr="006824FC" w:rsidRDefault="002E059D" w:rsidP="0098274F">
      <w:pPr>
        <w:pStyle w:val="SMALLHEADINGALLCAPS"/>
        <w:spacing w:after="0"/>
        <w:jc w:val="both"/>
        <w:rPr>
          <w:rFonts w:cstheme="minorHAnsi"/>
          <w:b w:val="0"/>
          <w:caps w:val="0"/>
          <w:color w:val="000000" w:themeColor="text1"/>
          <w:szCs w:val="20"/>
        </w:rPr>
      </w:pPr>
      <w:r>
        <w:rPr>
          <w:rFonts w:cstheme="minorHAnsi"/>
          <w:b w:val="0"/>
          <w:caps w:val="0"/>
          <w:color w:val="000000" w:themeColor="text1"/>
          <w:szCs w:val="20"/>
        </w:rPr>
        <w:t>WICS is required to publish a</w:t>
      </w:r>
      <w:r w:rsidR="006824FC" w:rsidRPr="006824FC">
        <w:rPr>
          <w:rFonts w:cstheme="minorHAnsi"/>
          <w:b w:val="0"/>
          <w:caps w:val="0"/>
          <w:color w:val="000000" w:themeColor="text1"/>
          <w:szCs w:val="20"/>
        </w:rPr>
        <w:t xml:space="preserve"> statement of </w:t>
      </w:r>
      <w:r w:rsidR="00D214BB">
        <w:rPr>
          <w:rFonts w:cstheme="minorHAnsi"/>
          <w:b w:val="0"/>
          <w:caps w:val="0"/>
          <w:color w:val="000000" w:themeColor="text1"/>
          <w:szCs w:val="20"/>
        </w:rPr>
        <w:t>expenditures incurred on overseas travel, including travel to and from the United Kingdom. The following should be included: the cost of hotels, conference fees, travel and subsistence during the overseas visit, and any other related expenditures</w:t>
      </w:r>
      <w:r w:rsidR="006824FC" w:rsidRPr="006824FC">
        <w:rPr>
          <w:rFonts w:cstheme="minorHAnsi"/>
          <w:b w:val="0"/>
          <w:caps w:val="0"/>
          <w:color w:val="000000" w:themeColor="text1"/>
          <w:szCs w:val="20"/>
        </w:rPr>
        <w:t>.</w:t>
      </w:r>
    </w:p>
    <w:p w14:paraId="7EDD5851" w14:textId="77777777" w:rsidR="0020216F" w:rsidRDefault="0020216F" w:rsidP="00CD56EF"/>
    <w:tbl>
      <w:tblPr>
        <w:tblStyle w:val="Blueline"/>
        <w:tblW w:w="7650" w:type="dxa"/>
        <w:tblLook w:val="04E0" w:firstRow="1" w:lastRow="1" w:firstColumn="1" w:lastColumn="0" w:noHBand="0" w:noVBand="1"/>
      </w:tblPr>
      <w:tblGrid>
        <w:gridCol w:w="3600"/>
        <w:gridCol w:w="2340"/>
        <w:gridCol w:w="1710"/>
      </w:tblGrid>
      <w:tr w:rsidR="00D214BB" w:rsidRPr="00123582" w14:paraId="3AC325E3" w14:textId="77777777" w:rsidTr="00D214BB">
        <w:trPr>
          <w:cnfStyle w:val="100000000000" w:firstRow="1" w:lastRow="0" w:firstColumn="0" w:lastColumn="0" w:oddVBand="0" w:evenVBand="0" w:oddHBand="0" w:evenHBand="0" w:firstRowFirstColumn="0" w:firstRowLastColumn="0" w:lastRowFirstColumn="0" w:lastRowLastColumn="0"/>
        </w:trPr>
        <w:tc>
          <w:tcPr>
            <w:tcW w:w="3600" w:type="dxa"/>
          </w:tcPr>
          <w:p w14:paraId="73443588" w14:textId="6FACABF8" w:rsidR="00D214BB" w:rsidRDefault="00D214BB">
            <w:r>
              <w:t>Type of expense</w:t>
            </w:r>
          </w:p>
        </w:tc>
        <w:tc>
          <w:tcPr>
            <w:tcW w:w="2340" w:type="dxa"/>
          </w:tcPr>
          <w:p w14:paraId="7EC41BB6" w14:textId="66C0AD12" w:rsidR="00D214BB" w:rsidRDefault="00D214BB">
            <w:pPr>
              <w:jc w:val="right"/>
            </w:pPr>
            <w:r>
              <w:t>2023-24 (£)</w:t>
            </w:r>
          </w:p>
        </w:tc>
        <w:tc>
          <w:tcPr>
            <w:tcW w:w="1710" w:type="dxa"/>
          </w:tcPr>
          <w:p w14:paraId="1AC6A370" w14:textId="729CA71E" w:rsidR="00D214BB" w:rsidRPr="00123582" w:rsidRDefault="00D214BB">
            <w:pPr>
              <w:jc w:val="right"/>
              <w:rPr>
                <w:b w:val="0"/>
              </w:rPr>
            </w:pPr>
            <w:r>
              <w:t>2022-23 (£)</w:t>
            </w:r>
          </w:p>
        </w:tc>
      </w:tr>
      <w:tr w:rsidR="00D214BB" w14:paraId="106CA371" w14:textId="77777777" w:rsidTr="00D214BB">
        <w:tc>
          <w:tcPr>
            <w:tcW w:w="3600" w:type="dxa"/>
          </w:tcPr>
          <w:p w14:paraId="6B913C0C" w14:textId="684F4501" w:rsidR="00D214BB" w:rsidRDefault="00D214BB">
            <w:r>
              <w:t>Flights</w:t>
            </w:r>
          </w:p>
        </w:tc>
        <w:tc>
          <w:tcPr>
            <w:tcW w:w="2340" w:type="dxa"/>
          </w:tcPr>
          <w:p w14:paraId="449C572C" w14:textId="39BEBDBF" w:rsidR="00D214BB" w:rsidRPr="00676751" w:rsidRDefault="008470AF">
            <w:pPr>
              <w:jc w:val="right"/>
            </w:pPr>
            <w:r w:rsidRPr="00676751">
              <w:t>35,235</w:t>
            </w:r>
          </w:p>
        </w:tc>
        <w:tc>
          <w:tcPr>
            <w:tcW w:w="1710" w:type="dxa"/>
          </w:tcPr>
          <w:p w14:paraId="3DB9763F" w14:textId="716180EF" w:rsidR="00D214BB" w:rsidRDefault="00D214BB">
            <w:pPr>
              <w:jc w:val="right"/>
            </w:pPr>
            <w:r>
              <w:t>196,928</w:t>
            </w:r>
          </w:p>
        </w:tc>
      </w:tr>
      <w:tr w:rsidR="00D214BB" w14:paraId="0769C482" w14:textId="77777777" w:rsidTr="00D214BB">
        <w:tc>
          <w:tcPr>
            <w:tcW w:w="3600" w:type="dxa"/>
          </w:tcPr>
          <w:p w14:paraId="32C6CD77" w14:textId="07046C1C" w:rsidR="00D214BB" w:rsidRPr="00710913" w:rsidRDefault="00D214BB">
            <w:r>
              <w:t>Accommodation</w:t>
            </w:r>
          </w:p>
        </w:tc>
        <w:tc>
          <w:tcPr>
            <w:tcW w:w="2340" w:type="dxa"/>
          </w:tcPr>
          <w:p w14:paraId="77BD92DF" w14:textId="579C1D90" w:rsidR="00D214BB" w:rsidRPr="00676751" w:rsidRDefault="00D92675">
            <w:pPr>
              <w:jc w:val="right"/>
            </w:pPr>
            <w:r w:rsidRPr="00676751">
              <w:t>11,672</w:t>
            </w:r>
          </w:p>
        </w:tc>
        <w:tc>
          <w:tcPr>
            <w:tcW w:w="1710" w:type="dxa"/>
          </w:tcPr>
          <w:p w14:paraId="0FC5168A" w14:textId="66056341" w:rsidR="00D214BB" w:rsidRPr="00710913" w:rsidRDefault="00D214BB">
            <w:pPr>
              <w:jc w:val="right"/>
            </w:pPr>
            <w:r>
              <w:t>64,626</w:t>
            </w:r>
          </w:p>
        </w:tc>
      </w:tr>
      <w:tr w:rsidR="00D214BB" w14:paraId="0A301B0E" w14:textId="77777777" w:rsidTr="00D214BB">
        <w:tc>
          <w:tcPr>
            <w:tcW w:w="3600" w:type="dxa"/>
          </w:tcPr>
          <w:p w14:paraId="7FA4670B" w14:textId="5DCB60E2" w:rsidR="00D214BB" w:rsidRDefault="00D214BB">
            <w:r>
              <w:t>Subsistence</w:t>
            </w:r>
          </w:p>
        </w:tc>
        <w:tc>
          <w:tcPr>
            <w:tcW w:w="2340" w:type="dxa"/>
          </w:tcPr>
          <w:p w14:paraId="043E5411" w14:textId="473EB244" w:rsidR="00D214BB" w:rsidRPr="00676751" w:rsidRDefault="003E0ED3">
            <w:pPr>
              <w:jc w:val="right"/>
            </w:pPr>
            <w:r w:rsidRPr="00676751">
              <w:t>16,646</w:t>
            </w:r>
          </w:p>
        </w:tc>
        <w:tc>
          <w:tcPr>
            <w:tcW w:w="1710" w:type="dxa"/>
          </w:tcPr>
          <w:p w14:paraId="61121D8F" w14:textId="2E339CE5" w:rsidR="00D214BB" w:rsidRDefault="00D214BB">
            <w:pPr>
              <w:jc w:val="right"/>
            </w:pPr>
            <w:r>
              <w:t>32,9</w:t>
            </w:r>
            <w:r w:rsidR="00D92675">
              <w:t>60</w:t>
            </w:r>
          </w:p>
        </w:tc>
      </w:tr>
      <w:tr w:rsidR="00D214BB" w14:paraId="02CC2409" w14:textId="77777777" w:rsidTr="00D214BB">
        <w:trPr>
          <w:cnfStyle w:val="010000000000" w:firstRow="0" w:lastRow="1" w:firstColumn="0" w:lastColumn="0" w:oddVBand="0" w:evenVBand="0" w:oddHBand="0" w:evenHBand="0" w:firstRowFirstColumn="0" w:firstRowLastColumn="0" w:lastRowFirstColumn="0" w:lastRowLastColumn="0"/>
        </w:trPr>
        <w:tc>
          <w:tcPr>
            <w:tcW w:w="3600" w:type="dxa"/>
          </w:tcPr>
          <w:p w14:paraId="728AAE37" w14:textId="0D634ACD" w:rsidR="00D214BB" w:rsidRDefault="00D214BB">
            <w:r>
              <w:t>Other travel and expenses</w:t>
            </w:r>
          </w:p>
        </w:tc>
        <w:tc>
          <w:tcPr>
            <w:tcW w:w="2340" w:type="dxa"/>
          </w:tcPr>
          <w:p w14:paraId="5744F19A" w14:textId="4E103B31" w:rsidR="00D214BB" w:rsidRPr="00676751" w:rsidRDefault="00542DEC">
            <w:pPr>
              <w:jc w:val="right"/>
            </w:pPr>
            <w:r w:rsidRPr="00676751">
              <w:t>7,770</w:t>
            </w:r>
          </w:p>
        </w:tc>
        <w:tc>
          <w:tcPr>
            <w:tcW w:w="1710" w:type="dxa"/>
          </w:tcPr>
          <w:p w14:paraId="4D4A74C8" w14:textId="0E75C64B" w:rsidR="00D214BB" w:rsidRDefault="00D214BB">
            <w:pPr>
              <w:jc w:val="right"/>
            </w:pPr>
            <w:r>
              <w:t>9,190</w:t>
            </w:r>
          </w:p>
        </w:tc>
      </w:tr>
    </w:tbl>
    <w:p w14:paraId="56AE0369" w14:textId="77777777" w:rsidR="002E1661" w:rsidRDefault="002E1661" w:rsidP="002E1661">
      <w:pPr>
        <w:rPr>
          <w:rFonts w:cstheme="minorHAnsi"/>
          <w:color w:val="000000" w:themeColor="text1"/>
          <w:szCs w:val="20"/>
        </w:rPr>
      </w:pPr>
    </w:p>
    <w:p w14:paraId="6FD7B1D0" w14:textId="0716467A" w:rsidR="00893A2B" w:rsidRDefault="002E1661" w:rsidP="00D214BB">
      <w:pPr>
        <w:rPr>
          <w:rFonts w:cstheme="minorHAnsi"/>
          <w:color w:val="000000" w:themeColor="text1"/>
          <w:szCs w:val="20"/>
        </w:rPr>
      </w:pPr>
      <w:r>
        <w:rPr>
          <w:rFonts w:cstheme="minorHAnsi"/>
          <w:color w:val="000000" w:themeColor="text1"/>
          <w:szCs w:val="20"/>
        </w:rPr>
        <w:lastRenderedPageBreak/>
        <w:t xml:space="preserve">The overseas travel costs in the table above include costs associated with a funded project in relation to consultancy services provided by WICS to the Department of Internal Affairs (DIA) in New Zealand. Of the total </w:t>
      </w:r>
      <w:r w:rsidR="00360F99">
        <w:rPr>
          <w:rFonts w:cstheme="minorHAnsi"/>
          <w:color w:val="000000" w:themeColor="text1"/>
          <w:szCs w:val="20"/>
        </w:rPr>
        <w:t>flight costs for the year</w:t>
      </w:r>
      <w:r>
        <w:rPr>
          <w:rFonts w:cstheme="minorHAnsi"/>
          <w:color w:val="000000" w:themeColor="text1"/>
          <w:szCs w:val="20"/>
        </w:rPr>
        <w:t>,</w:t>
      </w:r>
      <w:r w:rsidRPr="00676751">
        <w:rPr>
          <w:rFonts w:cstheme="minorHAnsi"/>
          <w:color w:val="000000" w:themeColor="text1"/>
          <w:szCs w:val="20"/>
        </w:rPr>
        <w:t xml:space="preserve"> £</w:t>
      </w:r>
      <w:r w:rsidR="004A6CD4" w:rsidRPr="00676751">
        <w:rPr>
          <w:rFonts w:cstheme="minorHAnsi"/>
          <w:color w:val="000000" w:themeColor="text1"/>
          <w:szCs w:val="20"/>
        </w:rPr>
        <w:t>22,895</w:t>
      </w:r>
      <w:r w:rsidR="004A6CD4">
        <w:rPr>
          <w:rFonts w:cstheme="minorHAnsi"/>
          <w:color w:val="000000" w:themeColor="text1"/>
          <w:szCs w:val="20"/>
        </w:rPr>
        <w:t xml:space="preserve"> (22-23: £</w:t>
      </w:r>
      <w:r w:rsidR="000F46B3">
        <w:rPr>
          <w:rFonts w:cstheme="minorHAnsi"/>
          <w:color w:val="000000" w:themeColor="text1"/>
          <w:szCs w:val="20"/>
        </w:rPr>
        <w:t>121,884)</w:t>
      </w:r>
      <w:r>
        <w:rPr>
          <w:rFonts w:cstheme="minorHAnsi"/>
          <w:color w:val="000000" w:themeColor="text1"/>
          <w:szCs w:val="20"/>
        </w:rPr>
        <w:t xml:space="preserve"> was reimbursed as part of the fees paid by the DIA.</w:t>
      </w:r>
    </w:p>
    <w:p w14:paraId="13192E90" w14:textId="77777777" w:rsidR="00843311" w:rsidRPr="00D214BB" w:rsidRDefault="00843311" w:rsidP="00D214BB"/>
    <w:p w14:paraId="63885395" w14:textId="090132C5" w:rsidR="007E7292" w:rsidRDefault="00ED0985" w:rsidP="00ED0985">
      <w:pPr>
        <w:pStyle w:val="Heading20"/>
      </w:pPr>
      <w:bookmarkStart w:id="8" w:name="_Toc184223607"/>
      <w:r>
        <w:t xml:space="preserve">3.3 </w:t>
      </w:r>
      <w:r w:rsidR="007E7292">
        <w:t>Hospitality and entertainment</w:t>
      </w:r>
      <w:bookmarkEnd w:id="8"/>
    </w:p>
    <w:p w14:paraId="0B76F032" w14:textId="6877F428" w:rsidR="004E7FFD" w:rsidRDefault="00296484"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WIC</w:t>
      </w:r>
      <w:r w:rsidR="00D214BB">
        <w:rPr>
          <w:rFonts w:asciiTheme="minorHAnsi" w:hAnsiTheme="minorHAnsi" w:cstheme="minorHAnsi"/>
          <w:color w:val="000000" w:themeColor="text1"/>
          <w:spacing w:val="0"/>
          <w:sz w:val="24"/>
          <w:szCs w:val="20"/>
        </w:rPr>
        <w:t>S</w:t>
      </w:r>
      <w:r>
        <w:rPr>
          <w:rFonts w:asciiTheme="minorHAnsi" w:hAnsiTheme="minorHAnsi" w:cstheme="minorHAnsi"/>
          <w:color w:val="000000" w:themeColor="text1"/>
          <w:spacing w:val="0"/>
          <w:sz w:val="24"/>
          <w:szCs w:val="20"/>
        </w:rPr>
        <w:t xml:space="preserve"> is required to publish a </w:t>
      </w:r>
      <w:r w:rsidR="00A924CD">
        <w:rPr>
          <w:rFonts w:asciiTheme="minorHAnsi" w:hAnsiTheme="minorHAnsi" w:cstheme="minorHAnsi"/>
          <w:color w:val="000000" w:themeColor="text1"/>
          <w:spacing w:val="0"/>
          <w:sz w:val="24"/>
          <w:szCs w:val="20"/>
        </w:rPr>
        <w:t>statement of expenditure on hospitality and entertainment, which is widely interpreted as including any gifts, meals, parties, receptions, tickets for or invitations to public, sporting, cultural or other events or other similar benefits accorded by a public body to its own members, employees,</w:t>
      </w:r>
      <w:r w:rsidR="009F3A14" w:rsidRPr="009F3A14">
        <w:rPr>
          <w:rFonts w:asciiTheme="minorHAnsi" w:hAnsiTheme="minorHAnsi" w:cstheme="minorHAnsi"/>
          <w:color w:val="000000" w:themeColor="text1"/>
          <w:spacing w:val="0"/>
          <w:sz w:val="24"/>
          <w:szCs w:val="20"/>
        </w:rPr>
        <w:t xml:space="preserve"> or third parties for whatever reason. </w:t>
      </w:r>
    </w:p>
    <w:p w14:paraId="020AE002" w14:textId="77777777" w:rsidR="004E7FFD" w:rsidRDefault="004E7FFD"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p>
    <w:p w14:paraId="2E066C31" w14:textId="2893037F" w:rsidR="009F3A14" w:rsidRPr="009F3A14" w:rsidRDefault="009F3A14"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r w:rsidRPr="009F3A14">
        <w:rPr>
          <w:rFonts w:asciiTheme="minorHAnsi" w:hAnsiTheme="minorHAnsi" w:cstheme="minorHAnsi"/>
          <w:color w:val="000000" w:themeColor="text1"/>
          <w:spacing w:val="0"/>
          <w:sz w:val="24"/>
          <w:szCs w:val="20"/>
        </w:rPr>
        <w:t xml:space="preserve">The payment of reasonable travel and subsistence allowances and the reimbursement of expenses that are necessarily incurred in relation to service as a member or employee of a public body </w:t>
      </w:r>
      <w:r w:rsidR="00232765">
        <w:rPr>
          <w:rFonts w:asciiTheme="minorHAnsi" w:hAnsiTheme="minorHAnsi" w:cstheme="minorHAnsi"/>
          <w:color w:val="000000" w:themeColor="text1"/>
          <w:spacing w:val="0"/>
          <w:sz w:val="24"/>
          <w:szCs w:val="20"/>
        </w:rPr>
        <w:t>are</w:t>
      </w:r>
      <w:r w:rsidRPr="009F3A14">
        <w:rPr>
          <w:rFonts w:asciiTheme="minorHAnsi" w:hAnsiTheme="minorHAnsi" w:cstheme="minorHAnsi"/>
          <w:color w:val="000000" w:themeColor="text1"/>
          <w:spacing w:val="0"/>
          <w:sz w:val="24"/>
          <w:szCs w:val="20"/>
        </w:rPr>
        <w:t xml:space="preserve"> excluded.</w:t>
      </w:r>
      <w:r>
        <w:rPr>
          <w:rFonts w:asciiTheme="minorHAnsi" w:hAnsiTheme="minorHAnsi" w:cstheme="minorHAnsi"/>
          <w:color w:val="000000" w:themeColor="text1"/>
          <w:spacing w:val="0"/>
          <w:sz w:val="24"/>
          <w:szCs w:val="20"/>
        </w:rPr>
        <w:t xml:space="preserve"> </w:t>
      </w:r>
      <w:r w:rsidRPr="009F3A14">
        <w:rPr>
          <w:rFonts w:asciiTheme="minorHAnsi" w:hAnsiTheme="minorHAnsi" w:cstheme="minorHAnsi"/>
          <w:color w:val="000000" w:themeColor="text1"/>
          <w:spacing w:val="0"/>
          <w:sz w:val="24"/>
          <w:szCs w:val="20"/>
        </w:rPr>
        <w:t xml:space="preserve">Gifts and benefits which are wholly trivial and of minimal value </w:t>
      </w:r>
      <w:r w:rsidR="00232765">
        <w:rPr>
          <w:rFonts w:asciiTheme="minorHAnsi" w:hAnsiTheme="minorHAnsi" w:cstheme="minorHAnsi"/>
          <w:color w:val="000000" w:themeColor="text1"/>
          <w:spacing w:val="0"/>
          <w:sz w:val="24"/>
          <w:szCs w:val="20"/>
        </w:rPr>
        <w:t>are also</w:t>
      </w:r>
      <w:r w:rsidRPr="009F3A14">
        <w:rPr>
          <w:rFonts w:asciiTheme="minorHAnsi" w:hAnsiTheme="minorHAnsi" w:cstheme="minorHAnsi"/>
          <w:color w:val="000000" w:themeColor="text1"/>
          <w:spacing w:val="0"/>
          <w:sz w:val="24"/>
          <w:szCs w:val="20"/>
        </w:rPr>
        <w:t xml:space="preserve"> excluded as de minimis. </w:t>
      </w:r>
      <w:r>
        <w:rPr>
          <w:rFonts w:asciiTheme="minorHAnsi" w:hAnsiTheme="minorHAnsi" w:cstheme="minorHAnsi"/>
          <w:color w:val="000000" w:themeColor="text1"/>
          <w:spacing w:val="0"/>
          <w:sz w:val="24"/>
          <w:szCs w:val="20"/>
        </w:rPr>
        <w:t xml:space="preserve">WICS has disclosed gifts over </w:t>
      </w:r>
      <w:r w:rsidRPr="009F3A14">
        <w:rPr>
          <w:rFonts w:asciiTheme="minorHAnsi" w:hAnsiTheme="minorHAnsi" w:cstheme="minorHAnsi"/>
          <w:color w:val="000000" w:themeColor="text1"/>
          <w:spacing w:val="0"/>
          <w:sz w:val="24"/>
          <w:szCs w:val="20"/>
        </w:rPr>
        <w:t>£</w:t>
      </w:r>
      <w:r>
        <w:rPr>
          <w:rFonts w:asciiTheme="minorHAnsi" w:hAnsiTheme="minorHAnsi" w:cstheme="minorHAnsi"/>
          <w:color w:val="000000" w:themeColor="text1"/>
          <w:spacing w:val="0"/>
          <w:sz w:val="24"/>
          <w:szCs w:val="20"/>
        </w:rPr>
        <w:t>50</w:t>
      </w:r>
      <w:r w:rsidRPr="009F3A14">
        <w:rPr>
          <w:rFonts w:asciiTheme="minorHAnsi" w:hAnsiTheme="minorHAnsi" w:cstheme="minorHAnsi"/>
          <w:color w:val="000000" w:themeColor="text1"/>
          <w:spacing w:val="0"/>
          <w:sz w:val="24"/>
          <w:szCs w:val="20"/>
        </w:rPr>
        <w:t xml:space="preserve"> for '</w:t>
      </w:r>
      <w:r w:rsidR="009E5A33">
        <w:rPr>
          <w:rFonts w:asciiTheme="minorHAnsi" w:hAnsiTheme="minorHAnsi" w:cstheme="minorHAnsi"/>
          <w:color w:val="000000" w:themeColor="text1"/>
          <w:spacing w:val="0"/>
          <w:sz w:val="24"/>
          <w:szCs w:val="20"/>
        </w:rPr>
        <w:t>one-off</w:t>
      </w:r>
      <w:r w:rsidRPr="009F3A14">
        <w:rPr>
          <w:rFonts w:asciiTheme="minorHAnsi" w:hAnsiTheme="minorHAnsi" w:cstheme="minorHAnsi"/>
          <w:color w:val="000000" w:themeColor="text1"/>
          <w:spacing w:val="0"/>
          <w:sz w:val="24"/>
          <w:szCs w:val="20"/>
        </w:rPr>
        <w:t>' gifts or benefits</w:t>
      </w:r>
      <w:r>
        <w:rPr>
          <w:rFonts w:asciiTheme="minorHAnsi" w:hAnsiTheme="minorHAnsi" w:cstheme="minorHAnsi"/>
          <w:color w:val="000000" w:themeColor="text1"/>
          <w:spacing w:val="0"/>
          <w:sz w:val="24"/>
          <w:szCs w:val="20"/>
        </w:rPr>
        <w:t>.</w:t>
      </w:r>
    </w:p>
    <w:p w14:paraId="36076215" w14:textId="77777777" w:rsidR="00B402F2" w:rsidRDefault="00B402F2" w:rsidP="00B402F2">
      <w:pPr>
        <w:pStyle w:val="SMALLHEADINGALLCAPS"/>
      </w:pPr>
    </w:p>
    <w:p w14:paraId="7D7414B0" w14:textId="313EAD28" w:rsidR="00D07710" w:rsidRPr="00766EA4" w:rsidRDefault="00766EA4" w:rsidP="00766EA4">
      <w:pPr>
        <w:pStyle w:val="Summaryparagraphtextbold"/>
      </w:pPr>
      <w:r>
        <w:t>Meals</w:t>
      </w:r>
      <w:r w:rsidR="00C73311">
        <w:t xml:space="preserve"> and events</w:t>
      </w:r>
    </w:p>
    <w:tbl>
      <w:tblPr>
        <w:tblStyle w:val="Blueline"/>
        <w:tblW w:w="7740" w:type="dxa"/>
        <w:tblLook w:val="04E0" w:firstRow="1" w:lastRow="1" w:firstColumn="1" w:lastColumn="0" w:noHBand="0" w:noVBand="1"/>
      </w:tblPr>
      <w:tblGrid>
        <w:gridCol w:w="3600"/>
        <w:gridCol w:w="2700"/>
        <w:gridCol w:w="1440"/>
      </w:tblGrid>
      <w:tr w:rsidR="009E5A33" w:rsidRPr="00123582" w14:paraId="7C4F9A27" w14:textId="77777777" w:rsidTr="009E5A33">
        <w:trPr>
          <w:cnfStyle w:val="100000000000" w:firstRow="1" w:lastRow="0" w:firstColumn="0" w:lastColumn="0" w:oddVBand="0" w:evenVBand="0" w:oddHBand="0" w:evenHBand="0" w:firstRowFirstColumn="0" w:firstRowLastColumn="0" w:lastRowFirstColumn="0" w:lastRowLastColumn="0"/>
        </w:trPr>
        <w:tc>
          <w:tcPr>
            <w:tcW w:w="3600" w:type="dxa"/>
          </w:tcPr>
          <w:p w14:paraId="08C0A2FA" w14:textId="3828C811" w:rsidR="009E5A33" w:rsidRPr="00766EA4" w:rsidRDefault="009E5A33">
            <w:r w:rsidRPr="00766EA4">
              <w:t>Type of event</w:t>
            </w:r>
          </w:p>
        </w:tc>
        <w:tc>
          <w:tcPr>
            <w:tcW w:w="2700" w:type="dxa"/>
          </w:tcPr>
          <w:p w14:paraId="6FC1CD98" w14:textId="7183C6C0" w:rsidR="009E5A33" w:rsidRPr="00766EA4" w:rsidRDefault="009E5A33">
            <w:pPr>
              <w:jc w:val="right"/>
            </w:pPr>
            <w:r w:rsidRPr="00766EA4">
              <w:t>2023-24</w:t>
            </w:r>
            <w:r w:rsidR="00520717" w:rsidRPr="00766EA4">
              <w:t xml:space="preserve"> (£)</w:t>
            </w:r>
          </w:p>
        </w:tc>
        <w:tc>
          <w:tcPr>
            <w:tcW w:w="1440" w:type="dxa"/>
          </w:tcPr>
          <w:p w14:paraId="6139153B" w14:textId="1644442B" w:rsidR="009E5A33" w:rsidRPr="00766EA4" w:rsidRDefault="009E5A33">
            <w:pPr>
              <w:jc w:val="right"/>
              <w:rPr>
                <w:b w:val="0"/>
              </w:rPr>
            </w:pPr>
            <w:r w:rsidRPr="00766EA4">
              <w:t xml:space="preserve">2022-23 </w:t>
            </w:r>
            <w:r w:rsidR="00520717" w:rsidRPr="00766EA4">
              <w:t>(</w:t>
            </w:r>
            <w:r w:rsidRPr="00766EA4">
              <w:t>£)</w:t>
            </w:r>
          </w:p>
        </w:tc>
      </w:tr>
      <w:tr w:rsidR="009E5A33" w14:paraId="7F3823DC" w14:textId="77777777" w:rsidTr="009E5A33">
        <w:tc>
          <w:tcPr>
            <w:tcW w:w="3600" w:type="dxa"/>
          </w:tcPr>
          <w:p w14:paraId="14D9C2A8" w14:textId="66495999" w:rsidR="009E5A33" w:rsidRPr="00766EA4" w:rsidRDefault="009E5A33">
            <w:r w:rsidRPr="00766EA4">
              <w:t xml:space="preserve">Staff related </w:t>
            </w:r>
          </w:p>
        </w:tc>
        <w:tc>
          <w:tcPr>
            <w:tcW w:w="2700" w:type="dxa"/>
          </w:tcPr>
          <w:p w14:paraId="02010F2E" w14:textId="522C3928" w:rsidR="009E5A33" w:rsidRPr="00766EA4" w:rsidRDefault="00102BFD">
            <w:pPr>
              <w:jc w:val="right"/>
            </w:pPr>
            <w:r w:rsidRPr="00766EA4">
              <w:t>559</w:t>
            </w:r>
          </w:p>
        </w:tc>
        <w:tc>
          <w:tcPr>
            <w:tcW w:w="1440" w:type="dxa"/>
          </w:tcPr>
          <w:p w14:paraId="010D5D82" w14:textId="61227576" w:rsidR="009E5A33" w:rsidRPr="00766EA4" w:rsidRDefault="009E5A33">
            <w:pPr>
              <w:jc w:val="right"/>
            </w:pPr>
            <w:r w:rsidRPr="00766EA4">
              <w:t>3,323</w:t>
            </w:r>
          </w:p>
        </w:tc>
      </w:tr>
      <w:tr w:rsidR="009E5A33" w14:paraId="3C076B13" w14:textId="77777777" w:rsidTr="009E5A33">
        <w:trPr>
          <w:cnfStyle w:val="010000000000" w:firstRow="0" w:lastRow="1" w:firstColumn="0" w:lastColumn="0" w:oddVBand="0" w:evenVBand="0" w:oddHBand="0" w:evenHBand="0" w:firstRowFirstColumn="0" w:firstRowLastColumn="0" w:lastRowFirstColumn="0" w:lastRowLastColumn="0"/>
        </w:trPr>
        <w:tc>
          <w:tcPr>
            <w:tcW w:w="3600" w:type="dxa"/>
          </w:tcPr>
          <w:p w14:paraId="27C4B38C" w14:textId="7A00B96D" w:rsidR="009E5A33" w:rsidRPr="00766EA4" w:rsidRDefault="009E5A33">
            <w:r w:rsidRPr="00766EA4">
              <w:t>Stakeholder related</w:t>
            </w:r>
          </w:p>
        </w:tc>
        <w:tc>
          <w:tcPr>
            <w:tcW w:w="2700" w:type="dxa"/>
          </w:tcPr>
          <w:p w14:paraId="1E87D093" w14:textId="0FF4721C" w:rsidR="009E5A33" w:rsidRPr="00766EA4" w:rsidRDefault="00102BFD">
            <w:pPr>
              <w:jc w:val="right"/>
            </w:pPr>
            <w:r w:rsidRPr="00766EA4">
              <w:t>1,791</w:t>
            </w:r>
          </w:p>
        </w:tc>
        <w:tc>
          <w:tcPr>
            <w:tcW w:w="1440" w:type="dxa"/>
          </w:tcPr>
          <w:p w14:paraId="4028C8D1" w14:textId="1CB9CA05" w:rsidR="009E5A33" w:rsidRPr="00766EA4" w:rsidRDefault="009E5A33">
            <w:pPr>
              <w:jc w:val="right"/>
            </w:pPr>
            <w:r w:rsidRPr="00766EA4">
              <w:t>4,504</w:t>
            </w:r>
          </w:p>
        </w:tc>
      </w:tr>
    </w:tbl>
    <w:p w14:paraId="4BD1F33A" w14:textId="77777777" w:rsidR="00164E8B" w:rsidRDefault="00164E8B" w:rsidP="000A272B">
      <w:pPr>
        <w:pStyle w:val="SMALLHEADINGALLCAPS"/>
      </w:pPr>
    </w:p>
    <w:p w14:paraId="29503274" w14:textId="1F708536" w:rsidR="000A272B" w:rsidRDefault="000A272B" w:rsidP="009A4B84">
      <w:pPr>
        <w:pStyle w:val="Summaryparagraphtextbold"/>
      </w:pPr>
      <w:r>
        <w:t>Gifts &gt; £50</w:t>
      </w:r>
    </w:p>
    <w:p w14:paraId="3A61149B" w14:textId="238540C8" w:rsidR="000A272B" w:rsidRDefault="000A272B" w:rsidP="000A272B">
      <w:pPr>
        <w:pStyle w:val="Heading1"/>
        <w:numPr>
          <w:ilvl w:val="0"/>
          <w:numId w:val="0"/>
        </w:numPr>
        <w:spacing w:after="0" w:line="240" w:lineRule="auto"/>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 xml:space="preserve">Gifts are provided in exceptional cases to </w:t>
      </w:r>
      <w:r w:rsidR="002E1661">
        <w:rPr>
          <w:rFonts w:asciiTheme="minorHAnsi" w:hAnsiTheme="minorHAnsi" w:cstheme="minorHAnsi"/>
          <w:color w:val="000000" w:themeColor="text1"/>
          <w:spacing w:val="0"/>
          <w:sz w:val="24"/>
          <w:szCs w:val="20"/>
        </w:rPr>
        <w:t>recognise</w:t>
      </w:r>
      <w:r>
        <w:rPr>
          <w:rFonts w:asciiTheme="minorHAnsi" w:hAnsiTheme="minorHAnsi" w:cstheme="minorHAnsi"/>
          <w:color w:val="000000" w:themeColor="text1"/>
          <w:spacing w:val="0"/>
          <w:sz w:val="24"/>
          <w:szCs w:val="20"/>
        </w:rPr>
        <w:t xml:space="preserve"> life events of employees and </w:t>
      </w:r>
      <w:r w:rsidR="002E1661">
        <w:rPr>
          <w:rFonts w:asciiTheme="minorHAnsi" w:hAnsiTheme="minorHAnsi" w:cstheme="minorHAnsi"/>
          <w:color w:val="000000" w:themeColor="text1"/>
          <w:spacing w:val="0"/>
          <w:sz w:val="24"/>
          <w:szCs w:val="20"/>
        </w:rPr>
        <w:t xml:space="preserve">key </w:t>
      </w:r>
      <w:r>
        <w:rPr>
          <w:rFonts w:asciiTheme="minorHAnsi" w:hAnsiTheme="minorHAnsi" w:cstheme="minorHAnsi"/>
          <w:color w:val="000000" w:themeColor="text1"/>
          <w:spacing w:val="0"/>
          <w:sz w:val="24"/>
          <w:szCs w:val="20"/>
        </w:rPr>
        <w:t>stakeholders. The total amount spent on gifts greater than £50 are outlined in the table below.</w:t>
      </w:r>
    </w:p>
    <w:p w14:paraId="6290D300" w14:textId="77777777" w:rsidR="000A272B" w:rsidRDefault="000A272B" w:rsidP="000A272B">
      <w:pPr>
        <w:pStyle w:val="Heading1"/>
        <w:numPr>
          <w:ilvl w:val="0"/>
          <w:numId w:val="0"/>
        </w:numPr>
        <w:spacing w:after="0" w:line="240" w:lineRule="auto"/>
        <w:rPr>
          <w:rFonts w:asciiTheme="minorHAnsi" w:hAnsiTheme="minorHAnsi" w:cstheme="minorHAnsi"/>
          <w:color w:val="000000" w:themeColor="text1"/>
          <w:spacing w:val="0"/>
          <w:sz w:val="24"/>
          <w:szCs w:val="20"/>
        </w:rPr>
      </w:pPr>
    </w:p>
    <w:tbl>
      <w:tblPr>
        <w:tblStyle w:val="Blueline"/>
        <w:tblW w:w="7740" w:type="dxa"/>
        <w:tblLook w:val="04E0" w:firstRow="1" w:lastRow="1" w:firstColumn="1" w:lastColumn="0" w:noHBand="0" w:noVBand="1"/>
      </w:tblPr>
      <w:tblGrid>
        <w:gridCol w:w="3600"/>
        <w:gridCol w:w="2700"/>
        <w:gridCol w:w="1440"/>
      </w:tblGrid>
      <w:tr w:rsidR="00710503" w14:paraId="0504EE53" w14:textId="71DF9776" w:rsidTr="00710503">
        <w:trPr>
          <w:cnfStyle w:val="100000000000" w:firstRow="1" w:lastRow="0" w:firstColumn="0" w:lastColumn="0" w:oddVBand="0" w:evenVBand="0" w:oddHBand="0" w:evenHBand="0" w:firstRowFirstColumn="0" w:firstRowLastColumn="0" w:lastRowFirstColumn="0" w:lastRowLastColumn="0"/>
        </w:trPr>
        <w:tc>
          <w:tcPr>
            <w:tcW w:w="3600" w:type="dxa"/>
          </w:tcPr>
          <w:p w14:paraId="14D842B7" w14:textId="043828B9" w:rsidR="00710503" w:rsidRDefault="00710503">
            <w:r>
              <w:t>Recipient</w:t>
            </w:r>
          </w:p>
        </w:tc>
        <w:tc>
          <w:tcPr>
            <w:tcW w:w="2700" w:type="dxa"/>
          </w:tcPr>
          <w:p w14:paraId="254AA434" w14:textId="33D3B25B" w:rsidR="00710503" w:rsidRDefault="00D16E06" w:rsidP="00123582">
            <w:pPr>
              <w:jc w:val="right"/>
            </w:pPr>
            <w:r>
              <w:t>2023-24 (£)</w:t>
            </w:r>
          </w:p>
        </w:tc>
        <w:tc>
          <w:tcPr>
            <w:tcW w:w="1440" w:type="dxa"/>
          </w:tcPr>
          <w:p w14:paraId="3265F7DB" w14:textId="591C147B" w:rsidR="00710503" w:rsidRPr="00123582" w:rsidRDefault="00710503" w:rsidP="00123582">
            <w:pPr>
              <w:jc w:val="right"/>
              <w:rPr>
                <w:b w:val="0"/>
              </w:rPr>
            </w:pPr>
            <w:r>
              <w:t>2022-23 £)</w:t>
            </w:r>
          </w:p>
        </w:tc>
      </w:tr>
      <w:tr w:rsidR="00710503" w14:paraId="57873468" w14:textId="2340F404" w:rsidTr="00710503">
        <w:tc>
          <w:tcPr>
            <w:tcW w:w="3600" w:type="dxa"/>
          </w:tcPr>
          <w:p w14:paraId="2937AB9D" w14:textId="175587C9" w:rsidR="003D46A1" w:rsidRDefault="00710503">
            <w:r>
              <w:t>WICS employees and members</w:t>
            </w:r>
          </w:p>
        </w:tc>
        <w:tc>
          <w:tcPr>
            <w:tcW w:w="2700" w:type="dxa"/>
          </w:tcPr>
          <w:p w14:paraId="2304CAB3" w14:textId="0A426D26" w:rsidR="00710503" w:rsidRPr="00DD39D7" w:rsidRDefault="00A20235">
            <w:pPr>
              <w:jc w:val="right"/>
            </w:pPr>
            <w:r w:rsidRPr="00DD39D7">
              <w:t>105</w:t>
            </w:r>
          </w:p>
        </w:tc>
        <w:tc>
          <w:tcPr>
            <w:tcW w:w="1440" w:type="dxa"/>
          </w:tcPr>
          <w:p w14:paraId="57BF681F" w14:textId="7B0FAA4A" w:rsidR="00710503" w:rsidRDefault="00710503">
            <w:pPr>
              <w:jc w:val="right"/>
            </w:pPr>
            <w:r>
              <w:t>2,939</w:t>
            </w:r>
          </w:p>
        </w:tc>
      </w:tr>
      <w:tr w:rsidR="00710503" w:rsidRPr="00710913" w14:paraId="5C2053E6" w14:textId="18003A29" w:rsidTr="00710503">
        <w:trPr>
          <w:cnfStyle w:val="010000000000" w:firstRow="0" w:lastRow="1" w:firstColumn="0" w:lastColumn="0" w:oddVBand="0" w:evenVBand="0" w:oddHBand="0" w:evenHBand="0" w:firstRowFirstColumn="0" w:firstRowLastColumn="0" w:lastRowFirstColumn="0" w:lastRowLastColumn="0"/>
        </w:trPr>
        <w:tc>
          <w:tcPr>
            <w:tcW w:w="3600" w:type="dxa"/>
          </w:tcPr>
          <w:p w14:paraId="78F26AB2" w14:textId="009C856A" w:rsidR="00710503" w:rsidRPr="00710913" w:rsidRDefault="00710503">
            <w:r>
              <w:t>External stakeholders</w:t>
            </w:r>
          </w:p>
        </w:tc>
        <w:tc>
          <w:tcPr>
            <w:tcW w:w="2700" w:type="dxa"/>
          </w:tcPr>
          <w:p w14:paraId="730C2D03" w14:textId="1542E981" w:rsidR="00710503" w:rsidRPr="00DD39D7" w:rsidRDefault="00222F9D">
            <w:pPr>
              <w:jc w:val="right"/>
            </w:pPr>
            <w:r w:rsidRPr="00DD39D7">
              <w:t>19</w:t>
            </w:r>
            <w:r w:rsidR="00D76BCA" w:rsidRPr="00DD39D7">
              <w:t>2</w:t>
            </w:r>
          </w:p>
        </w:tc>
        <w:tc>
          <w:tcPr>
            <w:tcW w:w="1440" w:type="dxa"/>
          </w:tcPr>
          <w:p w14:paraId="06F4249B" w14:textId="390AEBFD" w:rsidR="00710503" w:rsidRPr="00710913" w:rsidRDefault="00710503">
            <w:pPr>
              <w:jc w:val="right"/>
            </w:pPr>
            <w:r>
              <w:t>52</w:t>
            </w:r>
          </w:p>
        </w:tc>
      </w:tr>
    </w:tbl>
    <w:p w14:paraId="2470E340" w14:textId="18376987" w:rsidR="008F1DD1" w:rsidRPr="000A272B" w:rsidRDefault="008F1DD1" w:rsidP="00893A2B">
      <w:pPr>
        <w:spacing w:after="160" w:line="259" w:lineRule="auto"/>
        <w:rPr>
          <w:rFonts w:cstheme="minorHAnsi"/>
          <w:color w:val="000000" w:themeColor="text1"/>
          <w:szCs w:val="20"/>
        </w:rPr>
      </w:pPr>
    </w:p>
    <w:p w14:paraId="5D2FCE7F" w14:textId="7A06C962" w:rsidR="007E7292" w:rsidRPr="00EC06F5" w:rsidRDefault="00ED0985" w:rsidP="00ED0985">
      <w:pPr>
        <w:pStyle w:val="Heading20"/>
      </w:pPr>
      <w:bookmarkStart w:id="9" w:name="_Toc184223608"/>
      <w:r>
        <w:t xml:space="preserve">3.4 </w:t>
      </w:r>
      <w:r w:rsidR="007E7292">
        <w:t>External consultancy</w:t>
      </w:r>
      <w:bookmarkEnd w:id="9"/>
    </w:p>
    <w:p w14:paraId="067E22BA" w14:textId="55C39528" w:rsidR="009A4B84" w:rsidRPr="009A4B84" w:rsidRDefault="00137A08" w:rsidP="009A4B84">
      <w:pPr>
        <w:spacing w:line="240" w:lineRule="auto"/>
        <w:jc w:val="both"/>
        <w:rPr>
          <w:rFonts w:cstheme="minorHAnsi"/>
          <w:color w:val="000000" w:themeColor="text1"/>
          <w:szCs w:val="20"/>
        </w:rPr>
      </w:pPr>
      <w:r>
        <w:rPr>
          <w:rFonts w:cstheme="minorHAnsi"/>
          <w:color w:val="000000" w:themeColor="text1"/>
          <w:szCs w:val="20"/>
        </w:rPr>
        <w:t xml:space="preserve">WICS </w:t>
      </w:r>
      <w:r w:rsidR="00573040">
        <w:rPr>
          <w:rFonts w:cstheme="minorHAnsi"/>
          <w:color w:val="000000" w:themeColor="text1"/>
          <w:szCs w:val="20"/>
        </w:rPr>
        <w:t xml:space="preserve">must provide a statement on expenditures on “external consultancy” services, </w:t>
      </w:r>
      <w:r w:rsidR="00D66066">
        <w:rPr>
          <w:rFonts w:cstheme="minorHAnsi"/>
          <w:color w:val="000000" w:themeColor="text1"/>
          <w:szCs w:val="20"/>
        </w:rPr>
        <w:t xml:space="preserve">which are </w:t>
      </w:r>
      <w:r w:rsidR="00653D3D">
        <w:rPr>
          <w:rFonts w:cstheme="minorHAnsi"/>
          <w:color w:val="000000" w:themeColor="text1"/>
          <w:szCs w:val="20"/>
        </w:rPr>
        <w:t>defined as a wide range of professional services such as management consultancy, IT consultancy, financial consultancy, research and evaluation,</w:t>
      </w:r>
      <w:r w:rsidR="009A4B84" w:rsidRPr="009A4B84">
        <w:rPr>
          <w:rFonts w:cstheme="minorHAnsi"/>
          <w:color w:val="000000" w:themeColor="text1"/>
          <w:szCs w:val="20"/>
        </w:rPr>
        <w:t xml:space="preserve"> and policy development. </w:t>
      </w:r>
    </w:p>
    <w:p w14:paraId="4BF1F90A" w14:textId="77777777" w:rsidR="00653D3D" w:rsidRDefault="00653D3D" w:rsidP="002348EB">
      <w:pPr>
        <w:spacing w:line="240" w:lineRule="auto"/>
        <w:jc w:val="both"/>
        <w:rPr>
          <w:rFonts w:cstheme="minorHAnsi"/>
          <w:color w:val="000000" w:themeColor="text1"/>
          <w:szCs w:val="20"/>
        </w:rPr>
      </w:pPr>
    </w:p>
    <w:p w14:paraId="54E9085C" w14:textId="1FBDB5BE" w:rsidR="002348EB" w:rsidRDefault="002348EB" w:rsidP="002348EB">
      <w:pPr>
        <w:spacing w:line="240" w:lineRule="auto"/>
        <w:jc w:val="both"/>
        <w:rPr>
          <w:rFonts w:cstheme="minorHAnsi"/>
          <w:color w:val="000000" w:themeColor="text1"/>
          <w:szCs w:val="20"/>
        </w:rPr>
      </w:pPr>
      <w:r>
        <w:rPr>
          <w:rFonts w:cstheme="minorHAnsi"/>
          <w:color w:val="000000" w:themeColor="text1"/>
          <w:szCs w:val="20"/>
        </w:rPr>
        <w:t xml:space="preserve">WICS requires wide-ranging advice to make appropriate assumptions about the reasonable costs </w:t>
      </w:r>
      <w:r w:rsidR="004E044E">
        <w:rPr>
          <w:rFonts w:cstheme="minorHAnsi"/>
          <w:color w:val="000000" w:themeColor="text1"/>
          <w:szCs w:val="20"/>
        </w:rPr>
        <w:t>it should allow</w:t>
      </w:r>
      <w:r>
        <w:rPr>
          <w:rFonts w:cstheme="minorHAnsi"/>
          <w:color w:val="000000" w:themeColor="text1"/>
          <w:szCs w:val="20"/>
        </w:rPr>
        <w:t xml:space="preserve"> in setting prices. These assumptions must be robust to external </w:t>
      </w:r>
      <w:r w:rsidR="004E044E">
        <w:rPr>
          <w:rFonts w:cstheme="minorHAnsi"/>
          <w:color w:val="000000" w:themeColor="text1"/>
          <w:szCs w:val="20"/>
        </w:rPr>
        <w:t>challenges</w:t>
      </w:r>
      <w:r>
        <w:rPr>
          <w:rFonts w:cstheme="minorHAnsi"/>
          <w:color w:val="000000" w:themeColor="text1"/>
          <w:szCs w:val="20"/>
        </w:rPr>
        <w:t xml:space="preserve">. </w:t>
      </w:r>
      <w:r w:rsidR="002E1661">
        <w:rPr>
          <w:rFonts w:cstheme="minorHAnsi"/>
          <w:color w:val="000000" w:themeColor="text1"/>
          <w:szCs w:val="20"/>
        </w:rPr>
        <w:t xml:space="preserve"> </w:t>
      </w:r>
      <w:r>
        <w:rPr>
          <w:rFonts w:cstheme="minorHAnsi"/>
          <w:color w:val="000000" w:themeColor="text1"/>
          <w:szCs w:val="20"/>
        </w:rPr>
        <w:t xml:space="preserve">WICS must also ensure that its processes and decisions can withstand judicial scrutiny. Supplementing WICS’s </w:t>
      </w:r>
      <w:r>
        <w:rPr>
          <w:rFonts w:cstheme="minorHAnsi"/>
          <w:color w:val="000000" w:themeColor="text1"/>
          <w:szCs w:val="20"/>
        </w:rPr>
        <w:lastRenderedPageBreak/>
        <w:t>expertise with that of outside experts provides significant reassurance of the quality and independence of its work.</w:t>
      </w:r>
    </w:p>
    <w:p w14:paraId="42C3D1A5" w14:textId="77777777" w:rsidR="009D6D83" w:rsidRDefault="009D6D83" w:rsidP="002348EB">
      <w:pPr>
        <w:spacing w:line="240" w:lineRule="auto"/>
        <w:jc w:val="both"/>
        <w:rPr>
          <w:rFonts w:cstheme="minorHAnsi"/>
          <w:color w:val="000000" w:themeColor="text1"/>
          <w:szCs w:val="20"/>
        </w:rPr>
      </w:pPr>
    </w:p>
    <w:p w14:paraId="5601D5CA" w14:textId="4DEC96AE" w:rsidR="009D6D83" w:rsidRDefault="009D6D83" w:rsidP="002348EB">
      <w:pPr>
        <w:spacing w:line="240" w:lineRule="auto"/>
        <w:jc w:val="both"/>
        <w:rPr>
          <w:rFonts w:cstheme="minorHAnsi"/>
          <w:color w:val="000000" w:themeColor="text1"/>
          <w:szCs w:val="20"/>
        </w:rPr>
      </w:pPr>
      <w:r>
        <w:rPr>
          <w:rFonts w:cstheme="minorHAnsi"/>
          <w:color w:val="000000" w:themeColor="text1"/>
          <w:szCs w:val="20"/>
        </w:rPr>
        <w:t xml:space="preserve">As WICS is a small organisation with fewer than 25 employees, it requires the services of external experts for </w:t>
      </w:r>
      <w:r w:rsidR="00D038DD">
        <w:rPr>
          <w:rFonts w:cstheme="minorHAnsi"/>
          <w:color w:val="000000" w:themeColor="text1"/>
          <w:szCs w:val="20"/>
        </w:rPr>
        <w:t xml:space="preserve">activities such as HR and data protection. The cost of these external experts is considered to be better value for money than employing </w:t>
      </w:r>
      <w:r w:rsidR="00A51AD5">
        <w:rPr>
          <w:rFonts w:cstheme="minorHAnsi"/>
          <w:color w:val="000000" w:themeColor="text1"/>
          <w:szCs w:val="20"/>
        </w:rPr>
        <w:t>individuals to fill these roles.</w:t>
      </w:r>
    </w:p>
    <w:p w14:paraId="5CFD91E6" w14:textId="77777777" w:rsidR="00A51AD5" w:rsidRDefault="00A51AD5" w:rsidP="00A51AD5">
      <w:pPr>
        <w:pStyle w:val="Heading2"/>
        <w:numPr>
          <w:ilvl w:val="0"/>
          <w:numId w:val="0"/>
        </w:numPr>
        <w:rPr>
          <w:rFonts w:cstheme="minorHAnsi"/>
          <w:color w:val="000000" w:themeColor="text1"/>
          <w:sz w:val="24"/>
          <w:szCs w:val="20"/>
        </w:rPr>
      </w:pPr>
    </w:p>
    <w:p w14:paraId="260C1309" w14:textId="0522472F" w:rsidR="00123582" w:rsidRPr="00123582" w:rsidRDefault="00123582" w:rsidP="00653D3D">
      <w:pPr>
        <w:pStyle w:val="Heading2"/>
        <w:numPr>
          <w:ilvl w:val="0"/>
          <w:numId w:val="0"/>
        </w:numPr>
        <w:rPr>
          <w:rFonts w:cstheme="minorHAnsi"/>
          <w:color w:val="000000" w:themeColor="text1"/>
          <w:sz w:val="24"/>
          <w:szCs w:val="20"/>
        </w:rPr>
      </w:pPr>
      <w:r w:rsidRPr="00123582">
        <w:rPr>
          <w:rFonts w:cstheme="minorHAnsi"/>
          <w:color w:val="000000" w:themeColor="text1"/>
          <w:sz w:val="24"/>
          <w:szCs w:val="20"/>
        </w:rPr>
        <w:t>Expenditure on external consultancy services is outlined</w:t>
      </w:r>
      <w:r w:rsidR="004E044E">
        <w:rPr>
          <w:rFonts w:cstheme="minorHAnsi"/>
          <w:color w:val="000000" w:themeColor="text1"/>
          <w:sz w:val="24"/>
          <w:szCs w:val="20"/>
        </w:rPr>
        <w:t xml:space="preserve"> by type</w:t>
      </w:r>
      <w:r w:rsidRPr="00123582">
        <w:rPr>
          <w:rFonts w:cstheme="minorHAnsi"/>
          <w:color w:val="000000" w:themeColor="text1"/>
          <w:sz w:val="24"/>
          <w:szCs w:val="20"/>
        </w:rPr>
        <w:t xml:space="preserve"> in the table below.</w:t>
      </w:r>
    </w:p>
    <w:tbl>
      <w:tblPr>
        <w:tblStyle w:val="Blueline"/>
        <w:tblW w:w="7560" w:type="dxa"/>
        <w:tblLook w:val="04E0" w:firstRow="1" w:lastRow="1" w:firstColumn="1" w:lastColumn="0" w:noHBand="0" w:noVBand="1"/>
      </w:tblPr>
      <w:tblGrid>
        <w:gridCol w:w="3600"/>
        <w:gridCol w:w="1890"/>
        <w:gridCol w:w="2070"/>
      </w:tblGrid>
      <w:tr w:rsidR="004E044E" w14:paraId="766E0FCA" w14:textId="77777777" w:rsidTr="004E044E">
        <w:trPr>
          <w:cnfStyle w:val="100000000000" w:firstRow="1" w:lastRow="0" w:firstColumn="0" w:lastColumn="0" w:oddVBand="0" w:evenVBand="0" w:oddHBand="0" w:evenHBand="0" w:firstRowFirstColumn="0" w:firstRowLastColumn="0" w:lastRowFirstColumn="0" w:lastRowLastColumn="0"/>
        </w:trPr>
        <w:tc>
          <w:tcPr>
            <w:tcW w:w="3600" w:type="dxa"/>
          </w:tcPr>
          <w:p w14:paraId="43E245F0" w14:textId="51EA83B5" w:rsidR="004E044E" w:rsidRDefault="004E044E">
            <w:r>
              <w:t>Type of consultancy service</w:t>
            </w:r>
          </w:p>
        </w:tc>
        <w:tc>
          <w:tcPr>
            <w:tcW w:w="1890" w:type="dxa"/>
          </w:tcPr>
          <w:p w14:paraId="71996EFE" w14:textId="700D648F" w:rsidR="004E044E" w:rsidRDefault="004E044E" w:rsidP="00123582">
            <w:pPr>
              <w:jc w:val="right"/>
            </w:pPr>
            <w:r>
              <w:t>2023-24 (£)</w:t>
            </w:r>
          </w:p>
        </w:tc>
        <w:tc>
          <w:tcPr>
            <w:tcW w:w="2070" w:type="dxa"/>
          </w:tcPr>
          <w:p w14:paraId="0FC21435" w14:textId="74155637" w:rsidR="004E044E" w:rsidRPr="00123582" w:rsidRDefault="004E044E" w:rsidP="00123582">
            <w:pPr>
              <w:jc w:val="right"/>
              <w:rPr>
                <w:b w:val="0"/>
              </w:rPr>
            </w:pPr>
            <w:r>
              <w:t>2022-23 (£)</w:t>
            </w:r>
          </w:p>
        </w:tc>
      </w:tr>
      <w:tr w:rsidR="004E044E" w14:paraId="66E5D8FE" w14:textId="77777777" w:rsidTr="004E044E">
        <w:tc>
          <w:tcPr>
            <w:tcW w:w="3600" w:type="dxa"/>
          </w:tcPr>
          <w:p w14:paraId="7760B177" w14:textId="00445B10" w:rsidR="004E044E" w:rsidRDefault="004E044E">
            <w:r>
              <w:t>Regulation and licensing support</w:t>
            </w:r>
          </w:p>
        </w:tc>
        <w:tc>
          <w:tcPr>
            <w:tcW w:w="1890" w:type="dxa"/>
          </w:tcPr>
          <w:p w14:paraId="07F84339" w14:textId="6F11AFE7" w:rsidR="004E044E" w:rsidRPr="00D66066" w:rsidRDefault="00062A50">
            <w:pPr>
              <w:jc w:val="right"/>
            </w:pPr>
            <w:r w:rsidRPr="00D66066">
              <w:t>297,391</w:t>
            </w:r>
          </w:p>
        </w:tc>
        <w:tc>
          <w:tcPr>
            <w:tcW w:w="2070" w:type="dxa"/>
          </w:tcPr>
          <w:p w14:paraId="53851073" w14:textId="3ECC09C7" w:rsidR="004E044E" w:rsidRDefault="00871C7F">
            <w:pPr>
              <w:jc w:val="right"/>
            </w:pPr>
            <w:r>
              <w:t>294,515</w:t>
            </w:r>
          </w:p>
        </w:tc>
      </w:tr>
      <w:tr w:rsidR="004E044E" w14:paraId="2AE1CFC6" w14:textId="77777777" w:rsidTr="004E044E">
        <w:tc>
          <w:tcPr>
            <w:tcW w:w="3600" w:type="dxa"/>
          </w:tcPr>
          <w:p w14:paraId="6C5A4554" w14:textId="053ED535" w:rsidR="004E044E" w:rsidRDefault="004E044E">
            <w:r>
              <w:t>Internal audit and accounting</w:t>
            </w:r>
          </w:p>
        </w:tc>
        <w:tc>
          <w:tcPr>
            <w:tcW w:w="1890" w:type="dxa"/>
          </w:tcPr>
          <w:p w14:paraId="37CD30AC" w14:textId="244126A5" w:rsidR="004E044E" w:rsidRPr="00D66066" w:rsidRDefault="00062A50">
            <w:pPr>
              <w:jc w:val="right"/>
            </w:pPr>
            <w:r w:rsidRPr="00D66066">
              <w:t>90,588</w:t>
            </w:r>
          </w:p>
        </w:tc>
        <w:tc>
          <w:tcPr>
            <w:tcW w:w="2070" w:type="dxa"/>
          </w:tcPr>
          <w:p w14:paraId="5E22858D" w14:textId="16F9477C" w:rsidR="004E044E" w:rsidRDefault="001631B0">
            <w:pPr>
              <w:jc w:val="right"/>
            </w:pPr>
            <w:r>
              <w:t>116,165</w:t>
            </w:r>
          </w:p>
        </w:tc>
      </w:tr>
      <w:tr w:rsidR="00A24E14" w14:paraId="1B4F49BD" w14:textId="77777777" w:rsidTr="004E044E">
        <w:tc>
          <w:tcPr>
            <w:tcW w:w="3600" w:type="dxa"/>
          </w:tcPr>
          <w:p w14:paraId="7955F422" w14:textId="336FDB32" w:rsidR="00A24E14" w:rsidRDefault="000C0140">
            <w:r>
              <w:t>Data protection services</w:t>
            </w:r>
          </w:p>
        </w:tc>
        <w:tc>
          <w:tcPr>
            <w:tcW w:w="1890" w:type="dxa"/>
          </w:tcPr>
          <w:p w14:paraId="7183A446" w14:textId="6D54E06C" w:rsidR="00A24E14" w:rsidRPr="00D66066" w:rsidRDefault="00C638E6">
            <w:pPr>
              <w:jc w:val="right"/>
            </w:pPr>
            <w:r w:rsidRPr="00D66066">
              <w:t>15,743</w:t>
            </w:r>
          </w:p>
        </w:tc>
        <w:tc>
          <w:tcPr>
            <w:tcW w:w="2070" w:type="dxa"/>
          </w:tcPr>
          <w:p w14:paraId="62420F3C" w14:textId="328B1907" w:rsidR="00A24E14" w:rsidRDefault="00B2219E">
            <w:pPr>
              <w:jc w:val="right"/>
            </w:pPr>
            <w:r>
              <w:t>11,448</w:t>
            </w:r>
          </w:p>
        </w:tc>
      </w:tr>
      <w:tr w:rsidR="000C0140" w14:paraId="1D812285" w14:textId="77777777" w:rsidTr="004E044E">
        <w:tc>
          <w:tcPr>
            <w:tcW w:w="3600" w:type="dxa"/>
          </w:tcPr>
          <w:p w14:paraId="53ACA290" w14:textId="5BF173C7" w:rsidR="000C0140" w:rsidRDefault="000C0140">
            <w:r>
              <w:t>HR</w:t>
            </w:r>
            <w:r w:rsidR="00A953CF">
              <w:t xml:space="preserve"> and </w:t>
            </w:r>
            <w:r w:rsidR="00070752">
              <w:t>recruitment</w:t>
            </w:r>
          </w:p>
        </w:tc>
        <w:tc>
          <w:tcPr>
            <w:tcW w:w="1890" w:type="dxa"/>
          </w:tcPr>
          <w:p w14:paraId="20E55737" w14:textId="5CA2358F" w:rsidR="000C0140" w:rsidRPr="00D66066" w:rsidRDefault="00C638E6">
            <w:pPr>
              <w:jc w:val="right"/>
            </w:pPr>
            <w:r w:rsidRPr="00D66066">
              <w:t>40,085</w:t>
            </w:r>
          </w:p>
        </w:tc>
        <w:tc>
          <w:tcPr>
            <w:tcW w:w="2070" w:type="dxa"/>
          </w:tcPr>
          <w:p w14:paraId="194F97D9" w14:textId="35BF0690" w:rsidR="000C0140" w:rsidRDefault="001631B0">
            <w:pPr>
              <w:jc w:val="right"/>
            </w:pPr>
            <w:r>
              <w:t>26,40</w:t>
            </w:r>
            <w:r w:rsidR="00611ECB">
              <w:t>9</w:t>
            </w:r>
          </w:p>
        </w:tc>
      </w:tr>
      <w:tr w:rsidR="00F15694" w14:paraId="1AB81B1A" w14:textId="77777777" w:rsidTr="004E044E">
        <w:tc>
          <w:tcPr>
            <w:tcW w:w="3600" w:type="dxa"/>
          </w:tcPr>
          <w:p w14:paraId="53F34D35" w14:textId="6A263FBE" w:rsidR="00F15694" w:rsidRDefault="00F15694">
            <w:r>
              <w:t>Information technology</w:t>
            </w:r>
          </w:p>
        </w:tc>
        <w:tc>
          <w:tcPr>
            <w:tcW w:w="1890" w:type="dxa"/>
          </w:tcPr>
          <w:p w14:paraId="37E5CF7C" w14:textId="77BCBB81" w:rsidR="00F15694" w:rsidRPr="00D66066" w:rsidRDefault="00062A50">
            <w:pPr>
              <w:jc w:val="right"/>
            </w:pPr>
            <w:r w:rsidRPr="00D66066">
              <w:t>26,530</w:t>
            </w:r>
          </w:p>
        </w:tc>
        <w:tc>
          <w:tcPr>
            <w:tcW w:w="2070" w:type="dxa"/>
          </w:tcPr>
          <w:p w14:paraId="06558ABD" w14:textId="4792CDAC" w:rsidR="00F15694" w:rsidRDefault="00E80A86">
            <w:pPr>
              <w:jc w:val="right"/>
            </w:pPr>
            <w:r>
              <w:t>6,420</w:t>
            </w:r>
          </w:p>
        </w:tc>
      </w:tr>
      <w:tr w:rsidR="004E044E" w14:paraId="17A3C28C" w14:textId="77777777" w:rsidTr="004E044E">
        <w:trPr>
          <w:cnfStyle w:val="010000000000" w:firstRow="0" w:lastRow="1" w:firstColumn="0" w:lastColumn="0" w:oddVBand="0" w:evenVBand="0" w:oddHBand="0" w:evenHBand="0" w:firstRowFirstColumn="0" w:firstRowLastColumn="0" w:lastRowFirstColumn="0" w:lastRowLastColumn="0"/>
        </w:trPr>
        <w:tc>
          <w:tcPr>
            <w:tcW w:w="3600" w:type="dxa"/>
          </w:tcPr>
          <w:p w14:paraId="11EA3A36" w14:textId="4AF93C61" w:rsidR="004E044E" w:rsidRDefault="004E044E">
            <w:r>
              <w:t>Other</w:t>
            </w:r>
          </w:p>
        </w:tc>
        <w:tc>
          <w:tcPr>
            <w:tcW w:w="1890" w:type="dxa"/>
          </w:tcPr>
          <w:p w14:paraId="4049BE54" w14:textId="70BA7315" w:rsidR="004E044E" w:rsidRPr="00D66066" w:rsidRDefault="00062A50">
            <w:pPr>
              <w:jc w:val="right"/>
            </w:pPr>
            <w:r w:rsidRPr="00D66066">
              <w:t>9,260</w:t>
            </w:r>
          </w:p>
        </w:tc>
        <w:tc>
          <w:tcPr>
            <w:tcW w:w="2070" w:type="dxa"/>
          </w:tcPr>
          <w:p w14:paraId="61C7DF1D" w14:textId="7AE8D1F3" w:rsidR="004E044E" w:rsidRDefault="00871C7F">
            <w:pPr>
              <w:jc w:val="right"/>
            </w:pPr>
            <w:r>
              <w:t>37,915</w:t>
            </w:r>
          </w:p>
        </w:tc>
      </w:tr>
    </w:tbl>
    <w:p w14:paraId="5F9E13AA" w14:textId="77777777" w:rsidR="00D51448" w:rsidRDefault="00D51448" w:rsidP="0003096B">
      <w:pPr>
        <w:pStyle w:val="Heading2"/>
        <w:numPr>
          <w:ilvl w:val="0"/>
          <w:numId w:val="0"/>
        </w:numPr>
      </w:pPr>
    </w:p>
    <w:p w14:paraId="724892AC" w14:textId="1829727D" w:rsidR="00D51448" w:rsidRPr="00EC06F5" w:rsidRDefault="00ED0985" w:rsidP="00ED0985">
      <w:pPr>
        <w:pStyle w:val="Heading20"/>
      </w:pPr>
      <w:bookmarkStart w:id="10" w:name="_Toc184223609"/>
      <w:r>
        <w:t xml:space="preserve">3.5 </w:t>
      </w:r>
      <w:r w:rsidR="00D51448">
        <w:t>Payments in excess of £25,000</w:t>
      </w:r>
      <w:bookmarkEnd w:id="10"/>
    </w:p>
    <w:p w14:paraId="553A48B6" w14:textId="4F4E71E0" w:rsidR="00A34BE2" w:rsidRPr="00360D8D" w:rsidRDefault="00D51448" w:rsidP="00676751">
      <w:pPr>
        <w:spacing w:line="240" w:lineRule="auto"/>
        <w:jc w:val="both"/>
      </w:pPr>
      <w:r w:rsidRPr="00D51448">
        <w:rPr>
          <w:rFonts w:cstheme="minorHAnsi"/>
          <w:color w:val="000000" w:themeColor="text1"/>
          <w:szCs w:val="20"/>
        </w:rPr>
        <w:t>Section 31 (3) of the Act provides that each listed body must publish a statement specifying the amount, date, payee and subject matter of any payment</w:t>
      </w:r>
      <w:r w:rsidR="00A34BE2">
        <w:rPr>
          <w:rStyle w:val="FootnoteReference"/>
          <w:rFonts w:cstheme="minorHAnsi"/>
          <w:color w:val="000000" w:themeColor="text1"/>
          <w:szCs w:val="20"/>
        </w:rPr>
        <w:footnoteReference w:id="3"/>
      </w:r>
      <w:r w:rsidRPr="00D51448">
        <w:rPr>
          <w:rFonts w:cstheme="minorHAnsi"/>
          <w:color w:val="000000" w:themeColor="text1"/>
          <w:szCs w:val="20"/>
        </w:rPr>
        <w:t xml:space="preserve"> made </w:t>
      </w:r>
      <w:r w:rsidR="00256C92">
        <w:rPr>
          <w:rFonts w:cstheme="minorHAnsi"/>
          <w:color w:val="000000" w:themeColor="text1"/>
          <w:szCs w:val="20"/>
        </w:rPr>
        <w:t>with</w:t>
      </w:r>
      <w:r w:rsidRPr="00D51448">
        <w:rPr>
          <w:rFonts w:cstheme="minorHAnsi"/>
          <w:color w:val="000000" w:themeColor="text1"/>
          <w:szCs w:val="20"/>
        </w:rPr>
        <w:t xml:space="preserve"> a value in excess of £25,000 (inclusive of VAT).</w:t>
      </w:r>
      <w:r w:rsidR="00A34BE2">
        <w:rPr>
          <w:rFonts w:cstheme="minorHAnsi"/>
          <w:color w:val="000000" w:themeColor="text1"/>
          <w:szCs w:val="20"/>
        </w:rPr>
        <w:t xml:space="preserve"> </w:t>
      </w:r>
      <w:r w:rsidR="00DD1B50" w:rsidRPr="00676751">
        <w:t xml:space="preserve">The table below </w:t>
      </w:r>
      <w:r w:rsidR="00573040" w:rsidRPr="00676751">
        <w:t>provides information on all payments made by WICS over £25,000.</w:t>
      </w:r>
    </w:p>
    <w:tbl>
      <w:tblPr>
        <w:tblStyle w:val="Blueline"/>
        <w:tblW w:w="0" w:type="auto"/>
        <w:tblLook w:val="04E0" w:firstRow="1" w:lastRow="1" w:firstColumn="1" w:lastColumn="0" w:noHBand="0" w:noVBand="1"/>
      </w:tblPr>
      <w:tblGrid>
        <w:gridCol w:w="1350"/>
        <w:gridCol w:w="1530"/>
        <w:gridCol w:w="2790"/>
        <w:gridCol w:w="3960"/>
      </w:tblGrid>
      <w:tr w:rsidR="00B85EC6" w14:paraId="68937E37" w14:textId="77777777" w:rsidTr="00B75F5D">
        <w:trPr>
          <w:cnfStyle w:val="100000000000" w:firstRow="1" w:lastRow="0" w:firstColumn="0" w:lastColumn="0" w:oddVBand="0" w:evenVBand="0" w:oddHBand="0" w:evenHBand="0" w:firstRowFirstColumn="0" w:firstRowLastColumn="0" w:lastRowFirstColumn="0" w:lastRowLastColumn="0"/>
        </w:trPr>
        <w:tc>
          <w:tcPr>
            <w:tcW w:w="1350" w:type="dxa"/>
          </w:tcPr>
          <w:p w14:paraId="6CF7BF2D" w14:textId="1CB137D2" w:rsidR="00B85EC6" w:rsidRDefault="00B85EC6">
            <w:r>
              <w:t>Date of transaction</w:t>
            </w:r>
          </w:p>
        </w:tc>
        <w:tc>
          <w:tcPr>
            <w:tcW w:w="1530" w:type="dxa"/>
          </w:tcPr>
          <w:p w14:paraId="776E1974" w14:textId="6D242F9A" w:rsidR="00B85EC6" w:rsidRDefault="00B85EC6" w:rsidP="00B85EC6">
            <w:pPr>
              <w:jc w:val="right"/>
            </w:pPr>
            <w:r>
              <w:t>Amount (£)</w:t>
            </w:r>
          </w:p>
        </w:tc>
        <w:tc>
          <w:tcPr>
            <w:tcW w:w="2790" w:type="dxa"/>
          </w:tcPr>
          <w:p w14:paraId="55D37DF0" w14:textId="141D015E" w:rsidR="00B85EC6" w:rsidRDefault="00B85EC6">
            <w:r>
              <w:t>Recipient</w:t>
            </w:r>
          </w:p>
        </w:tc>
        <w:tc>
          <w:tcPr>
            <w:tcW w:w="3960" w:type="dxa"/>
          </w:tcPr>
          <w:p w14:paraId="46954C0E" w14:textId="2A1B9449" w:rsidR="00B85EC6" w:rsidRDefault="00B85EC6">
            <w:r>
              <w:t>Description</w:t>
            </w:r>
          </w:p>
        </w:tc>
      </w:tr>
      <w:tr w:rsidR="00B85EC6" w14:paraId="2081AEC9" w14:textId="77777777" w:rsidTr="00351A9D">
        <w:trPr>
          <w:trHeight w:val="355"/>
        </w:trPr>
        <w:tc>
          <w:tcPr>
            <w:tcW w:w="0" w:type="dxa"/>
          </w:tcPr>
          <w:p w14:paraId="7D5DFF9C" w14:textId="59922297" w:rsidR="00520717" w:rsidRDefault="00520717">
            <w:r>
              <w:t>11/05/23</w:t>
            </w:r>
          </w:p>
        </w:tc>
        <w:tc>
          <w:tcPr>
            <w:tcW w:w="0" w:type="dxa"/>
          </w:tcPr>
          <w:p w14:paraId="1A23F8A3" w14:textId="1336131F" w:rsidR="00B85EC6" w:rsidRDefault="00520717" w:rsidP="00B85EC6">
            <w:pPr>
              <w:jc w:val="right"/>
            </w:pPr>
            <w:r>
              <w:t>38,296.80</w:t>
            </w:r>
          </w:p>
        </w:tc>
        <w:tc>
          <w:tcPr>
            <w:tcW w:w="0" w:type="dxa"/>
          </w:tcPr>
          <w:p w14:paraId="71064D85" w14:textId="4C22E2B5" w:rsidR="00B85EC6" w:rsidRDefault="00520717">
            <w:r>
              <w:t>Oxera Consulting</w:t>
            </w:r>
          </w:p>
        </w:tc>
        <w:tc>
          <w:tcPr>
            <w:tcW w:w="0" w:type="dxa"/>
          </w:tcPr>
          <w:p w14:paraId="0258B76E" w14:textId="222EE0A6" w:rsidR="00B85EC6" w:rsidRDefault="206F375E">
            <w:r>
              <w:t>Economic consultancy services</w:t>
            </w:r>
          </w:p>
        </w:tc>
      </w:tr>
      <w:tr w:rsidR="00B85EC6" w:rsidRPr="00710913" w14:paraId="07A7729E" w14:textId="77777777" w:rsidTr="00B75F5D">
        <w:tc>
          <w:tcPr>
            <w:tcW w:w="1350" w:type="dxa"/>
          </w:tcPr>
          <w:p w14:paraId="2A1B14DD" w14:textId="5CD62812" w:rsidR="00B85EC6" w:rsidRPr="00710913" w:rsidRDefault="00520717">
            <w:r>
              <w:t>03/08/23</w:t>
            </w:r>
          </w:p>
        </w:tc>
        <w:tc>
          <w:tcPr>
            <w:tcW w:w="1530" w:type="dxa"/>
          </w:tcPr>
          <w:p w14:paraId="6BFC2378" w14:textId="5C362FBE" w:rsidR="00B85EC6" w:rsidRPr="00710913" w:rsidRDefault="00520717" w:rsidP="00B85EC6">
            <w:pPr>
              <w:jc w:val="right"/>
            </w:pPr>
            <w:r>
              <w:t>25,048.50</w:t>
            </w:r>
          </w:p>
        </w:tc>
        <w:tc>
          <w:tcPr>
            <w:tcW w:w="2790" w:type="dxa"/>
          </w:tcPr>
          <w:p w14:paraId="42E9B3D8" w14:textId="0D4F5416" w:rsidR="00B85EC6" w:rsidRPr="00710913" w:rsidRDefault="00520717">
            <w:r>
              <w:t>Stirling Council</w:t>
            </w:r>
          </w:p>
        </w:tc>
        <w:tc>
          <w:tcPr>
            <w:tcW w:w="3960" w:type="dxa"/>
          </w:tcPr>
          <w:p w14:paraId="4303E650" w14:textId="0EA730F2" w:rsidR="00B85EC6" w:rsidRPr="00710913" w:rsidRDefault="00520717">
            <w:r>
              <w:t>Quarterly rent and service charges</w:t>
            </w:r>
          </w:p>
        </w:tc>
      </w:tr>
      <w:tr w:rsidR="00B85EC6" w:rsidRPr="00710913" w14:paraId="3D835A49" w14:textId="77777777" w:rsidTr="00B75F5D">
        <w:tc>
          <w:tcPr>
            <w:tcW w:w="1350" w:type="dxa"/>
          </w:tcPr>
          <w:p w14:paraId="3DE4CBEC" w14:textId="6F52F400" w:rsidR="00B85EC6" w:rsidRPr="00710913" w:rsidRDefault="00520717">
            <w:r>
              <w:t>03/08</w:t>
            </w:r>
            <w:r w:rsidR="00FF1796">
              <w:t>/23</w:t>
            </w:r>
          </w:p>
        </w:tc>
        <w:tc>
          <w:tcPr>
            <w:tcW w:w="1530" w:type="dxa"/>
          </w:tcPr>
          <w:p w14:paraId="0D70033D" w14:textId="21E22D89" w:rsidR="00B85EC6" w:rsidRPr="00710913" w:rsidRDefault="00520717" w:rsidP="00B85EC6">
            <w:pPr>
              <w:jc w:val="right"/>
            </w:pPr>
            <w:r>
              <w:t>42,045.54</w:t>
            </w:r>
          </w:p>
        </w:tc>
        <w:tc>
          <w:tcPr>
            <w:tcW w:w="2790" w:type="dxa"/>
          </w:tcPr>
          <w:p w14:paraId="1D390138" w14:textId="295D4F74" w:rsidR="00B85EC6" w:rsidRPr="00710913" w:rsidRDefault="00FF1796">
            <w:r>
              <w:t>Oxera Consulting</w:t>
            </w:r>
          </w:p>
        </w:tc>
        <w:tc>
          <w:tcPr>
            <w:tcW w:w="3960" w:type="dxa"/>
          </w:tcPr>
          <w:p w14:paraId="68FFEF11" w14:textId="043697A8" w:rsidR="00B85EC6" w:rsidRPr="00710913" w:rsidRDefault="007C5A8B">
            <w:r>
              <w:t>Economic consultancy services</w:t>
            </w:r>
          </w:p>
        </w:tc>
      </w:tr>
      <w:tr w:rsidR="00B85EC6" w14:paraId="401CD81C" w14:textId="77777777" w:rsidTr="00B75F5D">
        <w:tc>
          <w:tcPr>
            <w:tcW w:w="1350" w:type="dxa"/>
          </w:tcPr>
          <w:p w14:paraId="732B66B4" w14:textId="4ABDDD83" w:rsidR="00B85EC6" w:rsidRDefault="00520717">
            <w:r>
              <w:t>09/11</w:t>
            </w:r>
            <w:r w:rsidR="00FF1796">
              <w:t>/23</w:t>
            </w:r>
          </w:p>
        </w:tc>
        <w:tc>
          <w:tcPr>
            <w:tcW w:w="1530" w:type="dxa"/>
          </w:tcPr>
          <w:p w14:paraId="630FEC78" w14:textId="5A92FF1F" w:rsidR="00B85EC6" w:rsidRDefault="00520717" w:rsidP="00B85EC6">
            <w:pPr>
              <w:jc w:val="right"/>
            </w:pPr>
            <w:r>
              <w:t>25,048.50</w:t>
            </w:r>
          </w:p>
        </w:tc>
        <w:tc>
          <w:tcPr>
            <w:tcW w:w="2790" w:type="dxa"/>
          </w:tcPr>
          <w:p w14:paraId="74EF92C7" w14:textId="3F2C50E4" w:rsidR="00B85EC6" w:rsidRDefault="00520717">
            <w:r>
              <w:t>Stirling Council</w:t>
            </w:r>
          </w:p>
        </w:tc>
        <w:tc>
          <w:tcPr>
            <w:tcW w:w="3960" w:type="dxa"/>
          </w:tcPr>
          <w:p w14:paraId="16546E6C" w14:textId="3861D212" w:rsidR="00B85EC6" w:rsidRDefault="00520717">
            <w:r>
              <w:t>Quarterly rent and service charges</w:t>
            </w:r>
          </w:p>
        </w:tc>
      </w:tr>
      <w:tr w:rsidR="00B85EC6" w14:paraId="2BB0B6F4" w14:textId="77777777" w:rsidTr="00B75F5D">
        <w:tc>
          <w:tcPr>
            <w:tcW w:w="1350" w:type="dxa"/>
          </w:tcPr>
          <w:p w14:paraId="2D9B90D3" w14:textId="28FE8719" w:rsidR="00B85EC6" w:rsidRDefault="00520717">
            <w:r>
              <w:t>20/12</w:t>
            </w:r>
            <w:r w:rsidR="00FF1796">
              <w:t>/23</w:t>
            </w:r>
          </w:p>
        </w:tc>
        <w:tc>
          <w:tcPr>
            <w:tcW w:w="1530" w:type="dxa"/>
          </w:tcPr>
          <w:p w14:paraId="440FC2A6" w14:textId="59C3E1DE" w:rsidR="00B85EC6" w:rsidRDefault="00520717" w:rsidP="00B85EC6">
            <w:pPr>
              <w:jc w:val="right"/>
            </w:pPr>
            <w:r>
              <w:t>71,296.80</w:t>
            </w:r>
          </w:p>
        </w:tc>
        <w:tc>
          <w:tcPr>
            <w:tcW w:w="2790" w:type="dxa"/>
          </w:tcPr>
          <w:p w14:paraId="2BAB2589" w14:textId="1FA7257F" w:rsidR="00B85EC6" w:rsidRDefault="003B6807">
            <w:r>
              <w:t>Oxera</w:t>
            </w:r>
            <w:r w:rsidR="00520717">
              <w:t xml:space="preserve"> Consulting</w:t>
            </w:r>
          </w:p>
        </w:tc>
        <w:tc>
          <w:tcPr>
            <w:tcW w:w="3960" w:type="dxa"/>
          </w:tcPr>
          <w:p w14:paraId="24A010C9" w14:textId="2935D3DD" w:rsidR="00B85EC6" w:rsidRDefault="003B6807">
            <w:r>
              <w:t>Economic consultancy services</w:t>
            </w:r>
          </w:p>
        </w:tc>
      </w:tr>
      <w:tr w:rsidR="00FF1796" w14:paraId="46E20A73" w14:textId="77777777" w:rsidTr="00B75F5D">
        <w:trPr>
          <w:cnfStyle w:val="010000000000" w:firstRow="0" w:lastRow="1" w:firstColumn="0" w:lastColumn="0" w:oddVBand="0" w:evenVBand="0" w:oddHBand="0" w:evenHBand="0" w:firstRowFirstColumn="0" w:firstRowLastColumn="0" w:lastRowFirstColumn="0" w:lastRowLastColumn="0"/>
        </w:trPr>
        <w:tc>
          <w:tcPr>
            <w:tcW w:w="1350" w:type="dxa"/>
          </w:tcPr>
          <w:p w14:paraId="12779107" w14:textId="54DE9778" w:rsidR="00FF1796" w:rsidRPr="00710913" w:rsidRDefault="00520717">
            <w:r>
              <w:t>22</w:t>
            </w:r>
            <w:r w:rsidR="00FF1796">
              <w:t>/03/23</w:t>
            </w:r>
          </w:p>
        </w:tc>
        <w:tc>
          <w:tcPr>
            <w:tcW w:w="1530" w:type="dxa"/>
          </w:tcPr>
          <w:p w14:paraId="10036F1F" w14:textId="5A2C48F0" w:rsidR="00FF1796" w:rsidRDefault="00520717" w:rsidP="00B85EC6">
            <w:pPr>
              <w:jc w:val="right"/>
            </w:pPr>
            <w:r>
              <w:t>26,368.80</w:t>
            </w:r>
          </w:p>
        </w:tc>
        <w:tc>
          <w:tcPr>
            <w:tcW w:w="2790" w:type="dxa"/>
          </w:tcPr>
          <w:p w14:paraId="6ECAA6DD" w14:textId="2397E6E9" w:rsidR="00FF1796" w:rsidRPr="00710913" w:rsidRDefault="00FF1796">
            <w:r>
              <w:t>Oxera Consulting</w:t>
            </w:r>
          </w:p>
        </w:tc>
        <w:tc>
          <w:tcPr>
            <w:tcW w:w="3960" w:type="dxa"/>
          </w:tcPr>
          <w:p w14:paraId="6F706BBC" w14:textId="4B8796DC" w:rsidR="00FF1796" w:rsidRPr="00710913" w:rsidRDefault="007C5A8B">
            <w:r>
              <w:t>Economic consultancy services</w:t>
            </w:r>
          </w:p>
        </w:tc>
      </w:tr>
    </w:tbl>
    <w:p w14:paraId="4FE78445" w14:textId="428737D3" w:rsidR="007E7292" w:rsidRPr="00C723B4" w:rsidRDefault="007E7292" w:rsidP="00C723B4">
      <w:pPr>
        <w:pStyle w:val="Heading10"/>
        <w:numPr>
          <w:ilvl w:val="0"/>
          <w:numId w:val="31"/>
        </w:numPr>
        <w:rPr>
          <w:b/>
          <w:bCs/>
          <w:sz w:val="40"/>
          <w:szCs w:val="40"/>
        </w:rPr>
      </w:pPr>
      <w:bookmarkStart w:id="11" w:name="_Toc184223610"/>
      <w:r w:rsidRPr="00C723B4">
        <w:rPr>
          <w:b/>
          <w:bCs/>
          <w:sz w:val="40"/>
          <w:szCs w:val="40"/>
        </w:rPr>
        <w:lastRenderedPageBreak/>
        <w:t>Remuneration</w:t>
      </w:r>
      <w:bookmarkEnd w:id="11"/>
    </w:p>
    <w:p w14:paraId="424422E1" w14:textId="77777777" w:rsidR="001C5BA0" w:rsidRPr="004E7FFD" w:rsidRDefault="001C5BA0" w:rsidP="001C5BA0">
      <w:pPr>
        <w:pStyle w:val="Heading1"/>
        <w:numPr>
          <w:ilvl w:val="0"/>
          <w:numId w:val="0"/>
        </w:numPr>
        <w:spacing w:line="240" w:lineRule="auto"/>
        <w:rPr>
          <w:rFonts w:asciiTheme="minorHAnsi" w:hAnsiTheme="minorHAnsi" w:cstheme="minorHAnsi"/>
          <w:color w:val="000000" w:themeColor="text1"/>
          <w:spacing w:val="0"/>
          <w:sz w:val="24"/>
          <w:szCs w:val="20"/>
        </w:rPr>
      </w:pPr>
      <w:r w:rsidRPr="001C5BA0">
        <w:rPr>
          <w:rFonts w:asciiTheme="minorHAnsi" w:hAnsiTheme="minorHAnsi" w:cstheme="minorHAnsi"/>
          <w:color w:val="000000" w:themeColor="text1"/>
          <w:spacing w:val="0"/>
          <w:sz w:val="24"/>
          <w:szCs w:val="20"/>
        </w:rPr>
        <w:t xml:space="preserve">Section 31(4) </w:t>
      </w:r>
      <w:r>
        <w:rPr>
          <w:rFonts w:asciiTheme="minorHAnsi" w:hAnsiTheme="minorHAnsi" w:cstheme="minorHAnsi"/>
          <w:color w:val="000000" w:themeColor="text1"/>
          <w:spacing w:val="0"/>
          <w:sz w:val="24"/>
          <w:szCs w:val="20"/>
        </w:rPr>
        <w:t xml:space="preserve">of the PSRA </w:t>
      </w:r>
      <w:r w:rsidRPr="001C5BA0">
        <w:rPr>
          <w:rFonts w:asciiTheme="minorHAnsi" w:hAnsiTheme="minorHAnsi" w:cstheme="minorHAnsi"/>
          <w:color w:val="000000" w:themeColor="text1"/>
          <w:spacing w:val="0"/>
          <w:sz w:val="24"/>
          <w:szCs w:val="20"/>
        </w:rPr>
        <w:t xml:space="preserve">provides that each listed public body must publish a statement specifying the number of individuals (if any) who received remuneration during that financial year </w:t>
      </w:r>
      <w:r w:rsidRPr="004E7FFD">
        <w:rPr>
          <w:rFonts w:asciiTheme="minorHAnsi" w:hAnsiTheme="minorHAnsi" w:cstheme="minorHAnsi"/>
          <w:color w:val="000000" w:themeColor="text1"/>
          <w:spacing w:val="0"/>
          <w:sz w:val="24"/>
          <w:szCs w:val="20"/>
        </w:rPr>
        <w:t>in excess of £150,000 in relation to service as a member or employee of a public body.</w:t>
      </w:r>
    </w:p>
    <w:p w14:paraId="196AB246" w14:textId="4EA91DB1" w:rsidR="001C5BA0" w:rsidRPr="004E7FFD" w:rsidRDefault="001C5BA0" w:rsidP="001C5BA0">
      <w:pPr>
        <w:pStyle w:val="Heading1"/>
        <w:numPr>
          <w:ilvl w:val="0"/>
          <w:numId w:val="0"/>
        </w:numPr>
        <w:spacing w:line="240" w:lineRule="auto"/>
        <w:rPr>
          <w:rFonts w:asciiTheme="minorHAnsi" w:hAnsiTheme="minorHAnsi" w:cstheme="minorHAnsi"/>
          <w:color w:val="000000" w:themeColor="text1"/>
          <w:spacing w:val="0"/>
          <w:sz w:val="24"/>
          <w:szCs w:val="20"/>
        </w:rPr>
      </w:pPr>
      <w:r w:rsidRPr="004E7FFD">
        <w:rPr>
          <w:rFonts w:asciiTheme="minorHAnsi" w:hAnsiTheme="minorHAnsi" w:cstheme="minorHAnsi"/>
          <w:color w:val="000000" w:themeColor="text1"/>
          <w:spacing w:val="0"/>
          <w:sz w:val="24"/>
          <w:szCs w:val="20"/>
        </w:rPr>
        <w:t>Remuneration in relation to service as a member or employee includes salary, bonus or other discretionary performance payments, allowances, fees, royalties</w:t>
      </w:r>
      <w:r w:rsidR="00A73EBC">
        <w:rPr>
          <w:rFonts w:asciiTheme="minorHAnsi" w:hAnsiTheme="minorHAnsi" w:cstheme="minorHAnsi"/>
          <w:color w:val="000000" w:themeColor="text1"/>
          <w:spacing w:val="0"/>
          <w:sz w:val="24"/>
          <w:szCs w:val="20"/>
        </w:rPr>
        <w:t>, and bonus or other payments in respect of performance in a previous financial year, but it does not include receipt of a pension, voluntary severance, compromise agreements,</w:t>
      </w:r>
      <w:r w:rsidRPr="004E7FFD">
        <w:rPr>
          <w:rFonts w:asciiTheme="minorHAnsi" w:hAnsiTheme="minorHAnsi" w:cstheme="minorHAnsi"/>
          <w:color w:val="000000" w:themeColor="text1"/>
          <w:spacing w:val="0"/>
          <w:sz w:val="24"/>
          <w:szCs w:val="20"/>
        </w:rPr>
        <w:t xml:space="preserve"> or redundancy payments.</w:t>
      </w:r>
    </w:p>
    <w:p w14:paraId="0DF8493B" w14:textId="3997115D" w:rsidR="001C5BA0" w:rsidRPr="004E7FFD" w:rsidRDefault="007B5763" w:rsidP="001C5BA0">
      <w:pPr>
        <w:pStyle w:val="Heading1"/>
        <w:numPr>
          <w:ilvl w:val="0"/>
          <w:numId w:val="0"/>
        </w:numPr>
        <w:spacing w:line="240" w:lineRule="auto"/>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No</w:t>
      </w:r>
      <w:r w:rsidR="001C5BA0" w:rsidRPr="004E7FFD">
        <w:rPr>
          <w:rFonts w:asciiTheme="minorHAnsi" w:hAnsiTheme="minorHAnsi" w:cstheme="minorHAnsi"/>
          <w:color w:val="000000" w:themeColor="text1"/>
          <w:spacing w:val="0"/>
          <w:sz w:val="24"/>
          <w:szCs w:val="20"/>
        </w:rPr>
        <w:t xml:space="preserve"> employee</w:t>
      </w:r>
      <w:r>
        <w:rPr>
          <w:rFonts w:asciiTheme="minorHAnsi" w:hAnsiTheme="minorHAnsi" w:cstheme="minorHAnsi"/>
          <w:color w:val="000000" w:themeColor="text1"/>
          <w:spacing w:val="0"/>
          <w:sz w:val="24"/>
          <w:szCs w:val="20"/>
        </w:rPr>
        <w:t>s</w:t>
      </w:r>
      <w:r w:rsidR="001C5BA0" w:rsidRPr="004E7FFD">
        <w:rPr>
          <w:rFonts w:asciiTheme="minorHAnsi" w:hAnsiTheme="minorHAnsi" w:cstheme="minorHAnsi"/>
          <w:color w:val="000000" w:themeColor="text1"/>
          <w:spacing w:val="0"/>
          <w:sz w:val="24"/>
          <w:szCs w:val="20"/>
        </w:rPr>
        <w:t xml:space="preserve"> of WICS received remuneration payments in excess of £150,000</w:t>
      </w:r>
      <w:r>
        <w:rPr>
          <w:rFonts w:asciiTheme="minorHAnsi" w:hAnsiTheme="minorHAnsi" w:cstheme="minorHAnsi"/>
          <w:color w:val="000000" w:themeColor="text1"/>
          <w:spacing w:val="0"/>
          <w:sz w:val="24"/>
          <w:szCs w:val="20"/>
        </w:rPr>
        <w:t xml:space="preserve"> during the financial year 2023-24</w:t>
      </w:r>
      <w:r w:rsidR="001C5BA0" w:rsidRPr="004E7FFD">
        <w:rPr>
          <w:rFonts w:asciiTheme="minorHAnsi" w:hAnsiTheme="minorHAnsi" w:cstheme="minorHAnsi"/>
          <w:color w:val="000000" w:themeColor="text1"/>
          <w:spacing w:val="0"/>
          <w:sz w:val="24"/>
          <w:szCs w:val="20"/>
        </w:rPr>
        <w:t xml:space="preserve">. </w:t>
      </w:r>
    </w:p>
    <w:p w14:paraId="3B958FFE" w14:textId="1C7E7DB2" w:rsidR="001C5BA0" w:rsidRPr="004E7FFD" w:rsidRDefault="00A73EBC" w:rsidP="001C5BA0">
      <w:pPr>
        <w:pStyle w:val="Heading1"/>
        <w:numPr>
          <w:ilvl w:val="0"/>
          <w:numId w:val="0"/>
        </w:numPr>
        <w:spacing w:line="240" w:lineRule="auto"/>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 xml:space="preserve">WICS' </w:t>
      </w:r>
      <w:hyperlink r:id="rId19" w:history="1">
        <w:r w:rsidRPr="007914B8">
          <w:rPr>
            <w:rStyle w:val="Hyperlink"/>
            <w:rFonts w:asciiTheme="minorHAnsi" w:hAnsiTheme="minorHAnsi" w:cstheme="minorHAnsi"/>
            <w:spacing w:val="0"/>
            <w:szCs w:val="20"/>
          </w:rPr>
          <w:t>annual report and financial statements</w:t>
        </w:r>
      </w:hyperlink>
      <w:r w:rsidRPr="00A73EBC">
        <w:rPr>
          <w:rFonts w:asciiTheme="minorHAnsi" w:hAnsiTheme="minorHAnsi" w:cstheme="minorHAnsi"/>
          <w:color w:val="000000" w:themeColor="text1"/>
          <w:spacing w:val="0"/>
          <w:sz w:val="24"/>
          <w:szCs w:val="20"/>
        </w:rPr>
        <w:t xml:space="preserve"> fully disclose remuneration costs, directors’ salaries, and pension entitlements</w:t>
      </w:r>
      <w:r w:rsidR="001C5BA0" w:rsidRPr="00A73EBC">
        <w:rPr>
          <w:rFonts w:asciiTheme="minorHAnsi" w:hAnsiTheme="minorHAnsi" w:cstheme="minorHAnsi"/>
          <w:color w:val="000000" w:themeColor="text1"/>
          <w:spacing w:val="0"/>
          <w:sz w:val="24"/>
          <w:szCs w:val="20"/>
        </w:rPr>
        <w:t>.</w:t>
      </w:r>
    </w:p>
    <w:p w14:paraId="6CB762E5" w14:textId="77777777" w:rsidR="007E7292" w:rsidRPr="00EC06F5" w:rsidRDefault="007E7292" w:rsidP="007E7292">
      <w:pPr>
        <w:pStyle w:val="Heading3"/>
        <w:numPr>
          <w:ilvl w:val="0"/>
          <w:numId w:val="0"/>
        </w:numPr>
      </w:pPr>
    </w:p>
    <w:p w14:paraId="745F9D68" w14:textId="1B2B11D2" w:rsidR="00450C94" w:rsidRDefault="00450C94" w:rsidP="00805421">
      <w:pPr>
        <w:jc w:val="both"/>
      </w:pPr>
    </w:p>
    <w:p w14:paraId="5E576BF2" w14:textId="2D0F4E46" w:rsidR="00450C94" w:rsidRDefault="00450C94" w:rsidP="00805421">
      <w:pPr>
        <w:jc w:val="both"/>
      </w:pPr>
    </w:p>
    <w:p w14:paraId="503D1F5F" w14:textId="77777777" w:rsidR="00A33894" w:rsidRDefault="00A33894" w:rsidP="00805421">
      <w:pPr>
        <w:jc w:val="both"/>
      </w:pPr>
    </w:p>
    <w:p w14:paraId="775DB3F3" w14:textId="77777777" w:rsidR="009215D0" w:rsidRDefault="009215D0" w:rsidP="00805421">
      <w:pPr>
        <w:jc w:val="both"/>
      </w:pPr>
    </w:p>
    <w:p w14:paraId="7BCC56ED" w14:textId="708E35D5" w:rsidR="0008752E" w:rsidRDefault="0008752E" w:rsidP="0003096B">
      <w:pPr>
        <w:pStyle w:val="Heading10"/>
        <w:sectPr w:rsidR="0008752E" w:rsidSect="00EA5341">
          <w:pgSz w:w="11906" w:h="16838" w:code="9"/>
          <w:pgMar w:top="1134" w:right="1134" w:bottom="1134" w:left="1134" w:header="567" w:footer="567" w:gutter="0"/>
          <w:cols w:space="708"/>
          <w:docGrid w:linePitch="360"/>
        </w:sectPr>
      </w:pPr>
    </w:p>
    <w:p w14:paraId="63BCEAB7" w14:textId="64525F8E" w:rsidR="0008752E" w:rsidRDefault="0008752E">
      <w:r>
        <w:br w:type="page"/>
      </w:r>
      <w:r w:rsidR="00450C94">
        <w:rPr>
          <w:noProof/>
        </w:rPr>
        <w:lastRenderedPageBreak/>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509192DF" id="Straight Connector 1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Sect="0008752E">
      <w:headerReference w:type="default" r:id="rId20"/>
      <w:footerReference w:type="default" r:id="rId21"/>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48C45" w14:textId="77777777" w:rsidR="008030AC" w:rsidRDefault="008030AC" w:rsidP="0008752E">
      <w:pPr>
        <w:spacing w:line="240" w:lineRule="auto"/>
      </w:pPr>
      <w:r>
        <w:separator/>
      </w:r>
    </w:p>
  </w:endnote>
  <w:endnote w:type="continuationSeparator" w:id="0">
    <w:p w14:paraId="32A478AE" w14:textId="77777777" w:rsidR="008030AC" w:rsidRDefault="008030AC" w:rsidP="0008752E">
      <w:pPr>
        <w:spacing w:line="240" w:lineRule="auto"/>
      </w:pPr>
      <w:r>
        <w:continuationSeparator/>
      </w:r>
    </w:p>
  </w:endnote>
  <w:endnote w:type="continuationNotice" w:id="1">
    <w:p w14:paraId="74A87196" w14:textId="77777777" w:rsidR="008030AC" w:rsidRDefault="008030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244D" w14:textId="77777777" w:rsidR="00360D8D" w:rsidRDefault="00360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118D65F8"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3B6807">
      <w:rPr>
        <w:noProof/>
        <w:color w:val="5F7577" w:themeColor="accent2"/>
        <w:szCs w:val="18"/>
      </w:rPr>
      <w:t>Report for the year ended 31 March 2024</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D7F6" w14:textId="77777777" w:rsidR="00360D8D" w:rsidRDefault="00360D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Default="00D723CD">
    <w:pPr>
      <w:pStyle w:val="Footer"/>
    </w:pPr>
    <w:r w:rsidRPr="00450C94">
      <w:rPr>
        <w:noProof/>
      </w:rPr>
      <mc:AlternateContent>
        <mc:Choice Requires="wps">
          <w:drawing>
            <wp:anchor distT="0" distB="0" distL="114300" distR="114300" simplePos="0" relativeHeight="251658752"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6B940" w14:textId="77777777" w:rsidR="008030AC" w:rsidRDefault="008030AC" w:rsidP="0008752E">
      <w:pPr>
        <w:spacing w:line="240" w:lineRule="auto"/>
      </w:pPr>
      <w:r>
        <w:separator/>
      </w:r>
    </w:p>
  </w:footnote>
  <w:footnote w:type="continuationSeparator" w:id="0">
    <w:p w14:paraId="4DC0CB3B" w14:textId="77777777" w:rsidR="008030AC" w:rsidRDefault="008030AC" w:rsidP="0008752E">
      <w:pPr>
        <w:spacing w:line="240" w:lineRule="auto"/>
      </w:pPr>
      <w:r>
        <w:continuationSeparator/>
      </w:r>
    </w:p>
  </w:footnote>
  <w:footnote w:type="continuationNotice" w:id="1">
    <w:p w14:paraId="033A8B0F" w14:textId="77777777" w:rsidR="008030AC" w:rsidRDefault="008030AC">
      <w:pPr>
        <w:spacing w:line="240" w:lineRule="auto"/>
      </w:pPr>
    </w:p>
  </w:footnote>
  <w:footnote w:id="2">
    <w:p w14:paraId="08B8F017" w14:textId="75DE280F" w:rsidR="00A97609" w:rsidRDefault="00A97609">
      <w:pPr>
        <w:pStyle w:val="FootnoteText"/>
      </w:pPr>
      <w:r>
        <w:rPr>
          <w:rStyle w:val="FootnoteReference"/>
        </w:rPr>
        <w:footnoteRef/>
      </w:r>
      <w:r>
        <w:t xml:space="preserve"> </w:t>
      </w:r>
      <w:r>
        <w:rPr>
          <w:rFonts w:cstheme="minorHAnsi"/>
          <w:color w:val="000000" w:themeColor="text1"/>
        </w:rPr>
        <w:t xml:space="preserve">WICS hosts </w:t>
      </w:r>
      <w:r w:rsidRPr="00A97609">
        <w:rPr>
          <w:rFonts w:ascii="Calibri" w:hAnsi="Calibri" w:cs="Calibri"/>
          <w:color w:val="000000" w:themeColor="text1"/>
          <w:sz w:val="18"/>
          <w:szCs w:val="18"/>
        </w:rPr>
        <w:t xml:space="preserve">two websites: (i) </w:t>
      </w:r>
      <w:hyperlink r:id="rId1" w:history="1">
        <w:r w:rsidRPr="00A97609">
          <w:rPr>
            <w:rStyle w:val="Hyperlink"/>
            <w:rFonts w:ascii="Calibri" w:hAnsi="Calibri" w:cs="Calibri"/>
            <w:sz w:val="18"/>
            <w:szCs w:val="18"/>
          </w:rPr>
          <w:t>WICS' corporate website</w:t>
        </w:r>
      </w:hyperlink>
      <w:r w:rsidRPr="00A97609">
        <w:rPr>
          <w:rFonts w:ascii="Calibri" w:hAnsi="Calibri" w:cs="Calibri"/>
          <w:color w:val="000000" w:themeColor="text1"/>
          <w:sz w:val="18"/>
          <w:szCs w:val="18"/>
        </w:rPr>
        <w:t xml:space="preserve"> and (ii) a website to support the </w:t>
      </w:r>
      <w:hyperlink r:id="rId2" w:history="1">
        <w:r w:rsidRPr="00A97609">
          <w:rPr>
            <w:rStyle w:val="Hyperlink"/>
            <w:rFonts w:ascii="Calibri" w:hAnsi="Calibri" w:cs="Calibri"/>
            <w:sz w:val="18"/>
            <w:szCs w:val="18"/>
          </w:rPr>
          <w:t>retail market</w:t>
        </w:r>
      </w:hyperlink>
    </w:p>
  </w:footnote>
  <w:footnote w:id="3">
    <w:p w14:paraId="7F3480ED" w14:textId="611FCE8F" w:rsidR="00A34BE2" w:rsidRDefault="00A34BE2">
      <w:pPr>
        <w:pStyle w:val="FootnoteText"/>
      </w:pPr>
      <w:r>
        <w:rPr>
          <w:rStyle w:val="FootnoteReference"/>
        </w:rPr>
        <w:footnoteRef/>
      </w:r>
      <w:r>
        <w:t xml:space="preserve"> </w:t>
      </w:r>
      <w:r w:rsidRPr="00D51448">
        <w:rPr>
          <w:rFonts w:cstheme="minorHAnsi"/>
          <w:color w:val="000000" w:themeColor="text1"/>
        </w:rPr>
        <w:t xml:space="preserve">“Payments” include all payment transactions, including payments for goods and services and with government departments or other public bodies. However, </w:t>
      </w:r>
      <w:r>
        <w:rPr>
          <w:rFonts w:cstheme="minorHAnsi"/>
          <w:color w:val="000000" w:themeColor="text1"/>
        </w:rPr>
        <w:t>they do not include information relating to remuneration or other payments made to an individual for their service as a member or employee of a public body, such as salary, allowances, fees,</w:t>
      </w:r>
      <w:r w:rsidRPr="00D51448">
        <w:rPr>
          <w:rFonts w:cstheme="minorHAnsi"/>
          <w:color w:val="000000" w:themeColor="text1"/>
        </w:rPr>
        <w:t xml:space="preserve"> or pension.</w:t>
      </w:r>
      <w:r>
        <w:rPr>
          <w:rFonts w:cstheme="minorHAnsi"/>
          <w:color w:val="000000" w:themeColor="text1"/>
        </w:rPr>
        <w:t xml:space="preserve"> T</w:t>
      </w:r>
      <w:r w:rsidRPr="00B85EC6">
        <w:rPr>
          <w:rFonts w:cstheme="minorHAnsi"/>
          <w:color w:val="000000" w:themeColor="text1"/>
        </w:rPr>
        <w:t>he reporting requirement relates to cash payments, not accruals or invoices</w:t>
      </w:r>
      <w:r>
        <w:rPr>
          <w:rFonts w:cstheme="minorHAnsi"/>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57A7" w14:textId="77777777" w:rsidR="00360D8D" w:rsidRDefault="00360D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344D5511" w:rsidR="009215D0" w:rsidRDefault="009215D0">
    <w:pPr>
      <w:pStyle w:val="Header"/>
    </w:pPr>
    <w:r>
      <w:rPr>
        <w:noProof/>
      </w:rPr>
      <w:drawing>
        <wp:anchor distT="0" distB="0" distL="114300" distR="114300" simplePos="0" relativeHeight="251656704"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44768F85" w:rsidR="00805421" w:rsidRDefault="00805421">
    <w:pPr>
      <w:pStyle w:val="Header"/>
    </w:pPr>
    <w:r>
      <w:rPr>
        <w:noProof/>
      </w:rPr>
      <w:drawing>
        <wp:anchor distT="0" distB="0" distL="114300" distR="114300" simplePos="0" relativeHeight="251657728"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797ED9D7" w:rsidR="0008752E" w:rsidRDefault="00DE0535">
    <w:pPr>
      <w:pStyle w:val="Header"/>
    </w:pPr>
    <w:r>
      <w:rPr>
        <w:noProof/>
      </w:rPr>
      <w:drawing>
        <wp:anchor distT="0" distB="0" distL="114300" distR="114300" simplePos="0" relativeHeight="25165568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92FDC"/>
    <w:multiLevelType w:val="multilevel"/>
    <w:tmpl w:val="80C0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EC0B90"/>
    <w:multiLevelType w:val="multilevel"/>
    <w:tmpl w:val="8EB65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016558"/>
    <w:multiLevelType w:val="multilevel"/>
    <w:tmpl w:val="6EB6C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983BAD"/>
    <w:multiLevelType w:val="multilevel"/>
    <w:tmpl w:val="27D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612" w:hanging="432"/>
      </w:pPr>
    </w:lvl>
    <w:lvl w:ilvl="2">
      <w:start w:val="1"/>
      <w:numFmt w:val="decimal"/>
      <w:pStyle w:val="Heading3"/>
      <w:lvlText w:val="%1.%2.%3."/>
      <w:lvlJc w:val="left"/>
      <w:pPr>
        <w:ind w:left="1044" w:hanging="504"/>
      </w:pPr>
    </w:lvl>
    <w:lvl w:ilvl="3">
      <w:start w:val="1"/>
      <w:numFmt w:val="decimal"/>
      <w:pStyle w:val="Heading4"/>
      <w:lvlText w:val="%1.%2.%3.%4."/>
      <w:lvlJc w:val="left"/>
      <w:pPr>
        <w:ind w:left="1548" w:hanging="648"/>
      </w:pPr>
    </w:lvl>
    <w:lvl w:ilvl="4">
      <w:start w:val="1"/>
      <w:numFmt w:val="decimal"/>
      <w:lvlText w:val="%1.%2.%3.%4.%5."/>
      <w:lvlJc w:val="left"/>
      <w:pPr>
        <w:ind w:left="2052" w:hanging="792"/>
      </w:pPr>
    </w:lvl>
    <w:lvl w:ilvl="5">
      <w:start w:val="1"/>
      <w:numFmt w:val="decimal"/>
      <w:lvlText w:val="%1.%2.%3.%4.%5.%6."/>
      <w:lvlJc w:val="left"/>
      <w:pPr>
        <w:ind w:left="2556" w:hanging="936"/>
      </w:pPr>
    </w:lvl>
    <w:lvl w:ilvl="6">
      <w:start w:val="1"/>
      <w:numFmt w:val="decimal"/>
      <w:lvlText w:val="%1.%2.%3.%4.%5.%6.%7."/>
      <w:lvlJc w:val="left"/>
      <w:pPr>
        <w:ind w:left="3060" w:hanging="1080"/>
      </w:pPr>
    </w:lvl>
    <w:lvl w:ilvl="7">
      <w:start w:val="1"/>
      <w:numFmt w:val="decimal"/>
      <w:lvlText w:val="%1.%2.%3.%4.%5.%6.%7.%8."/>
      <w:lvlJc w:val="left"/>
      <w:pPr>
        <w:ind w:left="3564" w:hanging="1224"/>
      </w:pPr>
    </w:lvl>
    <w:lvl w:ilvl="8">
      <w:start w:val="1"/>
      <w:numFmt w:val="decimal"/>
      <w:lvlText w:val="%1.%2.%3.%4.%5.%6.%7.%8.%9."/>
      <w:lvlJc w:val="left"/>
      <w:pPr>
        <w:ind w:left="4140" w:hanging="1440"/>
      </w:pPr>
    </w:lvl>
  </w:abstractNum>
  <w:abstractNum w:abstractNumId="16" w15:restartNumberingAfterBreak="0">
    <w:nsid w:val="2D636031"/>
    <w:multiLevelType w:val="hybridMultilevel"/>
    <w:tmpl w:val="7D42B01C"/>
    <w:lvl w:ilvl="0" w:tplc="742415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7DC24F3"/>
    <w:multiLevelType w:val="hybridMultilevel"/>
    <w:tmpl w:val="6E32CE3E"/>
    <w:lvl w:ilvl="0" w:tplc="AC687F7A">
      <w:start w:val="1"/>
      <w:numFmt w:val="decimal"/>
      <w:lvlText w:val="%1."/>
      <w:lvlJc w:val="left"/>
      <w:pPr>
        <w:tabs>
          <w:tab w:val="num" w:pos="720"/>
        </w:tabs>
        <w:ind w:left="720" w:hanging="360"/>
      </w:pPr>
    </w:lvl>
    <w:lvl w:ilvl="1" w:tplc="DF74EA9E" w:tentative="1">
      <w:start w:val="1"/>
      <w:numFmt w:val="decimal"/>
      <w:lvlText w:val="%2."/>
      <w:lvlJc w:val="left"/>
      <w:pPr>
        <w:tabs>
          <w:tab w:val="num" w:pos="1440"/>
        </w:tabs>
        <w:ind w:left="1440" w:hanging="360"/>
      </w:pPr>
    </w:lvl>
    <w:lvl w:ilvl="2" w:tplc="3602428E" w:tentative="1">
      <w:start w:val="1"/>
      <w:numFmt w:val="decimal"/>
      <w:lvlText w:val="%3."/>
      <w:lvlJc w:val="left"/>
      <w:pPr>
        <w:tabs>
          <w:tab w:val="num" w:pos="2160"/>
        </w:tabs>
        <w:ind w:left="2160" w:hanging="360"/>
      </w:pPr>
    </w:lvl>
    <w:lvl w:ilvl="3" w:tplc="AF20E0F8" w:tentative="1">
      <w:start w:val="1"/>
      <w:numFmt w:val="decimal"/>
      <w:lvlText w:val="%4."/>
      <w:lvlJc w:val="left"/>
      <w:pPr>
        <w:tabs>
          <w:tab w:val="num" w:pos="2880"/>
        </w:tabs>
        <w:ind w:left="2880" w:hanging="360"/>
      </w:pPr>
    </w:lvl>
    <w:lvl w:ilvl="4" w:tplc="3BB4B90C" w:tentative="1">
      <w:start w:val="1"/>
      <w:numFmt w:val="decimal"/>
      <w:lvlText w:val="%5."/>
      <w:lvlJc w:val="left"/>
      <w:pPr>
        <w:tabs>
          <w:tab w:val="num" w:pos="3600"/>
        </w:tabs>
        <w:ind w:left="3600" w:hanging="360"/>
      </w:pPr>
    </w:lvl>
    <w:lvl w:ilvl="5" w:tplc="7B0C1F80" w:tentative="1">
      <w:start w:val="1"/>
      <w:numFmt w:val="decimal"/>
      <w:lvlText w:val="%6."/>
      <w:lvlJc w:val="left"/>
      <w:pPr>
        <w:tabs>
          <w:tab w:val="num" w:pos="4320"/>
        </w:tabs>
        <w:ind w:left="4320" w:hanging="360"/>
      </w:pPr>
    </w:lvl>
    <w:lvl w:ilvl="6" w:tplc="B52CFB84" w:tentative="1">
      <w:start w:val="1"/>
      <w:numFmt w:val="decimal"/>
      <w:lvlText w:val="%7."/>
      <w:lvlJc w:val="left"/>
      <w:pPr>
        <w:tabs>
          <w:tab w:val="num" w:pos="5040"/>
        </w:tabs>
        <w:ind w:left="5040" w:hanging="360"/>
      </w:pPr>
    </w:lvl>
    <w:lvl w:ilvl="7" w:tplc="9FB8FABE" w:tentative="1">
      <w:start w:val="1"/>
      <w:numFmt w:val="decimal"/>
      <w:lvlText w:val="%8."/>
      <w:lvlJc w:val="left"/>
      <w:pPr>
        <w:tabs>
          <w:tab w:val="num" w:pos="5760"/>
        </w:tabs>
        <w:ind w:left="5760" w:hanging="360"/>
      </w:pPr>
    </w:lvl>
    <w:lvl w:ilvl="8" w:tplc="0C30E3AC" w:tentative="1">
      <w:start w:val="1"/>
      <w:numFmt w:val="decimal"/>
      <w:lvlText w:val="%9."/>
      <w:lvlJc w:val="left"/>
      <w:pPr>
        <w:tabs>
          <w:tab w:val="num" w:pos="6480"/>
        </w:tabs>
        <w:ind w:left="6480" w:hanging="360"/>
      </w:pPr>
    </w:lvl>
  </w:abstractNum>
  <w:abstractNum w:abstractNumId="18" w15:restartNumberingAfterBreak="0">
    <w:nsid w:val="3A411169"/>
    <w:multiLevelType w:val="multilevel"/>
    <w:tmpl w:val="1A42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C38ED"/>
    <w:multiLevelType w:val="hybridMultilevel"/>
    <w:tmpl w:val="9EA82C18"/>
    <w:lvl w:ilvl="0" w:tplc="4E268D1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4" w15:restartNumberingAfterBreak="0">
    <w:nsid w:val="64851663"/>
    <w:multiLevelType w:val="hybridMultilevel"/>
    <w:tmpl w:val="F65A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8F410D"/>
    <w:multiLevelType w:val="multilevel"/>
    <w:tmpl w:val="92BE0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1F0E7A"/>
    <w:multiLevelType w:val="hybridMultilevel"/>
    <w:tmpl w:val="E9F616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25024295">
    <w:abstractNumId w:val="23"/>
  </w:num>
  <w:num w:numId="2" w16cid:durableId="1854612775">
    <w:abstractNumId w:val="15"/>
  </w:num>
  <w:num w:numId="3" w16cid:durableId="467095377">
    <w:abstractNumId w:val="21"/>
  </w:num>
  <w:num w:numId="4" w16cid:durableId="678893428">
    <w:abstractNumId w:val="20"/>
  </w:num>
  <w:num w:numId="5" w16cid:durableId="262035097">
    <w:abstractNumId w:val="22"/>
  </w:num>
  <w:num w:numId="6" w16cid:durableId="853953689">
    <w:abstractNumId w:val="14"/>
  </w:num>
  <w:num w:numId="7" w16cid:durableId="721713119">
    <w:abstractNumId w:val="9"/>
  </w:num>
  <w:num w:numId="8" w16cid:durableId="363216257">
    <w:abstractNumId w:val="7"/>
  </w:num>
  <w:num w:numId="9" w16cid:durableId="1232277537">
    <w:abstractNumId w:val="6"/>
  </w:num>
  <w:num w:numId="10" w16cid:durableId="1104808347">
    <w:abstractNumId w:val="5"/>
  </w:num>
  <w:num w:numId="11" w16cid:durableId="558788292">
    <w:abstractNumId w:val="4"/>
  </w:num>
  <w:num w:numId="12" w16cid:durableId="31813241">
    <w:abstractNumId w:val="8"/>
  </w:num>
  <w:num w:numId="13" w16cid:durableId="1019618710">
    <w:abstractNumId w:val="3"/>
  </w:num>
  <w:num w:numId="14" w16cid:durableId="828519214">
    <w:abstractNumId w:val="2"/>
  </w:num>
  <w:num w:numId="15" w16cid:durableId="1193566734">
    <w:abstractNumId w:val="1"/>
  </w:num>
  <w:num w:numId="16" w16cid:durableId="410391730">
    <w:abstractNumId w:val="0"/>
  </w:num>
  <w:num w:numId="17" w16cid:durableId="1925413484">
    <w:abstractNumId w:val="25"/>
  </w:num>
  <w:num w:numId="18" w16cid:durableId="1003317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8804415">
    <w:abstractNumId w:val="22"/>
  </w:num>
  <w:num w:numId="20" w16cid:durableId="1363940929">
    <w:abstractNumId w:val="24"/>
  </w:num>
  <w:num w:numId="21" w16cid:durableId="1507357160">
    <w:abstractNumId w:val="17"/>
  </w:num>
  <w:num w:numId="22" w16cid:durableId="1057166797">
    <w:abstractNumId w:val="15"/>
  </w:num>
  <w:num w:numId="23" w16cid:durableId="89201032">
    <w:abstractNumId w:val="16"/>
  </w:num>
  <w:num w:numId="24" w16cid:durableId="1276670994">
    <w:abstractNumId w:val="19"/>
  </w:num>
  <w:num w:numId="25" w16cid:durableId="896432069">
    <w:abstractNumId w:val="12"/>
  </w:num>
  <w:num w:numId="26" w16cid:durableId="763115284">
    <w:abstractNumId w:val="10"/>
  </w:num>
  <w:num w:numId="27" w16cid:durableId="440345104">
    <w:abstractNumId w:val="18"/>
  </w:num>
  <w:num w:numId="28" w16cid:durableId="2109496699">
    <w:abstractNumId w:val="26"/>
  </w:num>
  <w:num w:numId="29" w16cid:durableId="917906791">
    <w:abstractNumId w:val="11"/>
  </w:num>
  <w:num w:numId="30" w16cid:durableId="1815293842">
    <w:abstractNumId w:val="13"/>
  </w:num>
  <w:num w:numId="31" w16cid:durableId="193547531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125B"/>
    <w:rsid w:val="00002DB8"/>
    <w:rsid w:val="00012D8C"/>
    <w:rsid w:val="0003096B"/>
    <w:rsid w:val="0003342C"/>
    <w:rsid w:val="00034BFE"/>
    <w:rsid w:val="000351F7"/>
    <w:rsid w:val="00046797"/>
    <w:rsid w:val="00057E09"/>
    <w:rsid w:val="00062A50"/>
    <w:rsid w:val="00070752"/>
    <w:rsid w:val="0008752E"/>
    <w:rsid w:val="00091E6C"/>
    <w:rsid w:val="000A272B"/>
    <w:rsid w:val="000B6A6F"/>
    <w:rsid w:val="000C0140"/>
    <w:rsid w:val="000E6288"/>
    <w:rsid w:val="000F3B7F"/>
    <w:rsid w:val="000F46B3"/>
    <w:rsid w:val="00102BFD"/>
    <w:rsid w:val="0010323C"/>
    <w:rsid w:val="0010413A"/>
    <w:rsid w:val="00113377"/>
    <w:rsid w:val="00121301"/>
    <w:rsid w:val="00123582"/>
    <w:rsid w:val="001339B6"/>
    <w:rsid w:val="00137A08"/>
    <w:rsid w:val="00147DFB"/>
    <w:rsid w:val="001502E0"/>
    <w:rsid w:val="00160C17"/>
    <w:rsid w:val="001631B0"/>
    <w:rsid w:val="00164D77"/>
    <w:rsid w:val="00164E8B"/>
    <w:rsid w:val="001940F8"/>
    <w:rsid w:val="001B695D"/>
    <w:rsid w:val="001C3B36"/>
    <w:rsid w:val="001C5BA0"/>
    <w:rsid w:val="001C7285"/>
    <w:rsid w:val="001D08E8"/>
    <w:rsid w:val="001D51F1"/>
    <w:rsid w:val="001D556C"/>
    <w:rsid w:val="001E0B4D"/>
    <w:rsid w:val="0020004E"/>
    <w:rsid w:val="0020216F"/>
    <w:rsid w:val="0021495F"/>
    <w:rsid w:val="0021736B"/>
    <w:rsid w:val="0022207F"/>
    <w:rsid w:val="00222F9D"/>
    <w:rsid w:val="00232765"/>
    <w:rsid w:val="002348EB"/>
    <w:rsid w:val="00237743"/>
    <w:rsid w:val="0024051D"/>
    <w:rsid w:val="002564DE"/>
    <w:rsid w:val="00256C92"/>
    <w:rsid w:val="00257CE8"/>
    <w:rsid w:val="002771DB"/>
    <w:rsid w:val="00296484"/>
    <w:rsid w:val="002B51DF"/>
    <w:rsid w:val="002B7E2A"/>
    <w:rsid w:val="002C4805"/>
    <w:rsid w:val="002C55AF"/>
    <w:rsid w:val="002E059D"/>
    <w:rsid w:val="002E1661"/>
    <w:rsid w:val="00305E34"/>
    <w:rsid w:val="003266A8"/>
    <w:rsid w:val="003271B0"/>
    <w:rsid w:val="00336C85"/>
    <w:rsid w:val="003444A6"/>
    <w:rsid w:val="00351A9D"/>
    <w:rsid w:val="00360D8D"/>
    <w:rsid w:val="00360F99"/>
    <w:rsid w:val="0036395B"/>
    <w:rsid w:val="003919E9"/>
    <w:rsid w:val="0039584F"/>
    <w:rsid w:val="003A3D2A"/>
    <w:rsid w:val="003B6807"/>
    <w:rsid w:val="003D46A1"/>
    <w:rsid w:val="003E02F2"/>
    <w:rsid w:val="003E0ED3"/>
    <w:rsid w:val="003E639D"/>
    <w:rsid w:val="004024E8"/>
    <w:rsid w:val="004039F0"/>
    <w:rsid w:val="00406E13"/>
    <w:rsid w:val="00412839"/>
    <w:rsid w:val="00440697"/>
    <w:rsid w:val="00447493"/>
    <w:rsid w:val="00450C94"/>
    <w:rsid w:val="004544B1"/>
    <w:rsid w:val="004A5182"/>
    <w:rsid w:val="004A6CD4"/>
    <w:rsid w:val="004A7C51"/>
    <w:rsid w:val="004B518E"/>
    <w:rsid w:val="004D48E6"/>
    <w:rsid w:val="004E044E"/>
    <w:rsid w:val="004E7FFD"/>
    <w:rsid w:val="004F312B"/>
    <w:rsid w:val="00520717"/>
    <w:rsid w:val="00542891"/>
    <w:rsid w:val="00542DEC"/>
    <w:rsid w:val="00553C55"/>
    <w:rsid w:val="00573040"/>
    <w:rsid w:val="0057680E"/>
    <w:rsid w:val="005C6B3E"/>
    <w:rsid w:val="005D0544"/>
    <w:rsid w:val="005D6884"/>
    <w:rsid w:val="00605AC9"/>
    <w:rsid w:val="00611ECB"/>
    <w:rsid w:val="006270C9"/>
    <w:rsid w:val="00633454"/>
    <w:rsid w:val="00642AF0"/>
    <w:rsid w:val="006471E0"/>
    <w:rsid w:val="00652AAA"/>
    <w:rsid w:val="00653D3D"/>
    <w:rsid w:val="00661296"/>
    <w:rsid w:val="00676751"/>
    <w:rsid w:val="006824FC"/>
    <w:rsid w:val="006827D6"/>
    <w:rsid w:val="00694710"/>
    <w:rsid w:val="006B3CF6"/>
    <w:rsid w:val="006C4091"/>
    <w:rsid w:val="00704700"/>
    <w:rsid w:val="00710503"/>
    <w:rsid w:val="0071294C"/>
    <w:rsid w:val="007157B2"/>
    <w:rsid w:val="0072686A"/>
    <w:rsid w:val="00735F8A"/>
    <w:rsid w:val="00743C9B"/>
    <w:rsid w:val="00751638"/>
    <w:rsid w:val="00766EA4"/>
    <w:rsid w:val="0077168E"/>
    <w:rsid w:val="00774F9F"/>
    <w:rsid w:val="007914B8"/>
    <w:rsid w:val="007B000E"/>
    <w:rsid w:val="007B2144"/>
    <w:rsid w:val="007B5763"/>
    <w:rsid w:val="007C1BEF"/>
    <w:rsid w:val="007C5A8B"/>
    <w:rsid w:val="007C6385"/>
    <w:rsid w:val="007E7292"/>
    <w:rsid w:val="007E75A9"/>
    <w:rsid w:val="007F4AE8"/>
    <w:rsid w:val="007F5CAA"/>
    <w:rsid w:val="007F616C"/>
    <w:rsid w:val="008030AC"/>
    <w:rsid w:val="00805421"/>
    <w:rsid w:val="00817357"/>
    <w:rsid w:val="00835F07"/>
    <w:rsid w:val="00843311"/>
    <w:rsid w:val="008470AF"/>
    <w:rsid w:val="00851E43"/>
    <w:rsid w:val="00856F65"/>
    <w:rsid w:val="00871C7F"/>
    <w:rsid w:val="00873C93"/>
    <w:rsid w:val="00886D43"/>
    <w:rsid w:val="00893A2B"/>
    <w:rsid w:val="00895C26"/>
    <w:rsid w:val="008A15D9"/>
    <w:rsid w:val="008D0718"/>
    <w:rsid w:val="008D07ED"/>
    <w:rsid w:val="008E051B"/>
    <w:rsid w:val="008E1F18"/>
    <w:rsid w:val="008F1DD1"/>
    <w:rsid w:val="008F5657"/>
    <w:rsid w:val="009179F6"/>
    <w:rsid w:val="00917A71"/>
    <w:rsid w:val="009215D0"/>
    <w:rsid w:val="00926B1E"/>
    <w:rsid w:val="00937676"/>
    <w:rsid w:val="00962D1D"/>
    <w:rsid w:val="0098274F"/>
    <w:rsid w:val="00987B8C"/>
    <w:rsid w:val="009A4B84"/>
    <w:rsid w:val="009B3786"/>
    <w:rsid w:val="009D6D83"/>
    <w:rsid w:val="009E5A33"/>
    <w:rsid w:val="009F1977"/>
    <w:rsid w:val="009F3A14"/>
    <w:rsid w:val="009F662B"/>
    <w:rsid w:val="009F6B7E"/>
    <w:rsid w:val="00A1503F"/>
    <w:rsid w:val="00A20235"/>
    <w:rsid w:val="00A24E14"/>
    <w:rsid w:val="00A25968"/>
    <w:rsid w:val="00A33894"/>
    <w:rsid w:val="00A34BE2"/>
    <w:rsid w:val="00A36499"/>
    <w:rsid w:val="00A43582"/>
    <w:rsid w:val="00A51AD5"/>
    <w:rsid w:val="00A54D44"/>
    <w:rsid w:val="00A6297A"/>
    <w:rsid w:val="00A71AB1"/>
    <w:rsid w:val="00A73EBC"/>
    <w:rsid w:val="00A84614"/>
    <w:rsid w:val="00A924CD"/>
    <w:rsid w:val="00A953CF"/>
    <w:rsid w:val="00A97609"/>
    <w:rsid w:val="00AC0299"/>
    <w:rsid w:val="00AD3DE3"/>
    <w:rsid w:val="00AD52FE"/>
    <w:rsid w:val="00AE0164"/>
    <w:rsid w:val="00AF2DF7"/>
    <w:rsid w:val="00AF5BAC"/>
    <w:rsid w:val="00B00656"/>
    <w:rsid w:val="00B045A2"/>
    <w:rsid w:val="00B1046A"/>
    <w:rsid w:val="00B1361C"/>
    <w:rsid w:val="00B2219E"/>
    <w:rsid w:val="00B402F2"/>
    <w:rsid w:val="00B426E3"/>
    <w:rsid w:val="00B55333"/>
    <w:rsid w:val="00B7212A"/>
    <w:rsid w:val="00B75F5D"/>
    <w:rsid w:val="00B85EC6"/>
    <w:rsid w:val="00B90122"/>
    <w:rsid w:val="00B92114"/>
    <w:rsid w:val="00BB5011"/>
    <w:rsid w:val="00BC0250"/>
    <w:rsid w:val="00BC1B3E"/>
    <w:rsid w:val="00BD1474"/>
    <w:rsid w:val="00BD36AC"/>
    <w:rsid w:val="00BF7B9C"/>
    <w:rsid w:val="00C038C4"/>
    <w:rsid w:val="00C17F80"/>
    <w:rsid w:val="00C43AE4"/>
    <w:rsid w:val="00C55970"/>
    <w:rsid w:val="00C638E6"/>
    <w:rsid w:val="00C723B4"/>
    <w:rsid w:val="00C73311"/>
    <w:rsid w:val="00C90F5C"/>
    <w:rsid w:val="00CA0A23"/>
    <w:rsid w:val="00CD20F0"/>
    <w:rsid w:val="00CD56EF"/>
    <w:rsid w:val="00CF2E14"/>
    <w:rsid w:val="00CF66BE"/>
    <w:rsid w:val="00D0263F"/>
    <w:rsid w:val="00D038DD"/>
    <w:rsid w:val="00D07710"/>
    <w:rsid w:val="00D122BF"/>
    <w:rsid w:val="00D16E06"/>
    <w:rsid w:val="00D214BB"/>
    <w:rsid w:val="00D405C3"/>
    <w:rsid w:val="00D51448"/>
    <w:rsid w:val="00D66066"/>
    <w:rsid w:val="00D679DD"/>
    <w:rsid w:val="00D723CD"/>
    <w:rsid w:val="00D76BCA"/>
    <w:rsid w:val="00D77013"/>
    <w:rsid w:val="00D84AB1"/>
    <w:rsid w:val="00D92675"/>
    <w:rsid w:val="00DA2EB4"/>
    <w:rsid w:val="00DB3835"/>
    <w:rsid w:val="00DC4ECB"/>
    <w:rsid w:val="00DD1B50"/>
    <w:rsid w:val="00DD3001"/>
    <w:rsid w:val="00DD39D7"/>
    <w:rsid w:val="00DE0535"/>
    <w:rsid w:val="00E0618F"/>
    <w:rsid w:val="00E07810"/>
    <w:rsid w:val="00E11A23"/>
    <w:rsid w:val="00E17BBD"/>
    <w:rsid w:val="00E20A62"/>
    <w:rsid w:val="00E366C8"/>
    <w:rsid w:val="00E47681"/>
    <w:rsid w:val="00E60046"/>
    <w:rsid w:val="00E62A21"/>
    <w:rsid w:val="00E63EA9"/>
    <w:rsid w:val="00E63FF6"/>
    <w:rsid w:val="00E76AE9"/>
    <w:rsid w:val="00E80A86"/>
    <w:rsid w:val="00EA343D"/>
    <w:rsid w:val="00EA5341"/>
    <w:rsid w:val="00ED0985"/>
    <w:rsid w:val="00ED4F83"/>
    <w:rsid w:val="00EF345C"/>
    <w:rsid w:val="00F019C5"/>
    <w:rsid w:val="00F01F90"/>
    <w:rsid w:val="00F0627E"/>
    <w:rsid w:val="00F15694"/>
    <w:rsid w:val="00F367EF"/>
    <w:rsid w:val="00F36C32"/>
    <w:rsid w:val="00F4666F"/>
    <w:rsid w:val="00F603F1"/>
    <w:rsid w:val="00F74641"/>
    <w:rsid w:val="00F75A70"/>
    <w:rsid w:val="00F775C6"/>
    <w:rsid w:val="00F847EF"/>
    <w:rsid w:val="00FA1722"/>
    <w:rsid w:val="00FB5742"/>
    <w:rsid w:val="00FB6CCD"/>
    <w:rsid w:val="00FF1796"/>
    <w:rsid w:val="00FF608B"/>
    <w:rsid w:val="206F375E"/>
    <w:rsid w:val="318D9934"/>
    <w:rsid w:val="44E8B46E"/>
    <w:rsid w:val="50548178"/>
    <w:rsid w:val="5944B06D"/>
    <w:rsid w:val="6A4BF0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FBEA5"/>
  <w15:chartTrackingRefBased/>
  <w15:docId w15:val="{090CFA1F-E653-4CBE-8062-843A426E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1C5BA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1C5BA0"/>
    <w:rPr>
      <w:color w:val="605E5C"/>
      <w:shd w:val="clear" w:color="auto" w:fill="E1DFDD"/>
    </w:rPr>
  </w:style>
  <w:style w:type="character" w:styleId="FollowedHyperlink">
    <w:name w:val="FollowedHyperlink"/>
    <w:basedOn w:val="DefaultParagraphFont"/>
    <w:uiPriority w:val="99"/>
    <w:semiHidden/>
    <w:unhideWhenUsed/>
    <w:rsid w:val="00C43AE4"/>
    <w:rPr>
      <w:color w:val="497A9C" w:themeColor="followedHyperlink"/>
      <w:u w:val="single"/>
    </w:rPr>
  </w:style>
  <w:style w:type="paragraph" w:styleId="FootnoteText">
    <w:name w:val="footnote text"/>
    <w:basedOn w:val="Normal"/>
    <w:link w:val="FootnoteTextChar"/>
    <w:uiPriority w:val="99"/>
    <w:semiHidden/>
    <w:unhideWhenUsed/>
    <w:rsid w:val="00886D43"/>
    <w:pPr>
      <w:spacing w:line="240" w:lineRule="auto"/>
    </w:pPr>
    <w:rPr>
      <w:sz w:val="20"/>
      <w:szCs w:val="20"/>
    </w:rPr>
  </w:style>
  <w:style w:type="character" w:customStyle="1" w:styleId="FootnoteTextChar">
    <w:name w:val="Footnote Text Char"/>
    <w:basedOn w:val="DefaultParagraphFont"/>
    <w:link w:val="FootnoteText"/>
    <w:uiPriority w:val="99"/>
    <w:semiHidden/>
    <w:rsid w:val="00886D43"/>
    <w:rPr>
      <w:sz w:val="20"/>
      <w:szCs w:val="20"/>
    </w:rPr>
  </w:style>
  <w:style w:type="character" w:styleId="FootnoteReference">
    <w:name w:val="footnote reference"/>
    <w:basedOn w:val="DefaultParagraphFont"/>
    <w:uiPriority w:val="99"/>
    <w:semiHidden/>
    <w:unhideWhenUsed/>
    <w:rsid w:val="00886D43"/>
    <w:rPr>
      <w:vertAlign w:val="superscript"/>
    </w:rPr>
  </w:style>
  <w:style w:type="paragraph" w:styleId="Revision">
    <w:name w:val="Revision"/>
    <w:hidden/>
    <w:uiPriority w:val="99"/>
    <w:semiHidden/>
    <w:rsid w:val="00856F65"/>
    <w:pPr>
      <w:spacing w:after="0" w:line="240" w:lineRule="auto"/>
    </w:pPr>
    <w:rPr>
      <w:sz w:val="24"/>
    </w:rPr>
  </w:style>
  <w:style w:type="paragraph" w:styleId="CommentText">
    <w:name w:val="annotation text"/>
    <w:basedOn w:val="Normal"/>
    <w:link w:val="CommentTextChar"/>
    <w:uiPriority w:val="99"/>
    <w:semiHidden/>
    <w:unhideWhenUsed/>
    <w:rsid w:val="001502E0"/>
    <w:pPr>
      <w:spacing w:line="240" w:lineRule="auto"/>
    </w:pPr>
    <w:rPr>
      <w:sz w:val="20"/>
      <w:szCs w:val="20"/>
    </w:rPr>
  </w:style>
  <w:style w:type="character" w:customStyle="1" w:styleId="CommentTextChar">
    <w:name w:val="Comment Text Char"/>
    <w:basedOn w:val="DefaultParagraphFont"/>
    <w:link w:val="CommentText"/>
    <w:uiPriority w:val="99"/>
    <w:semiHidden/>
    <w:rsid w:val="001502E0"/>
    <w:rPr>
      <w:sz w:val="20"/>
      <w:szCs w:val="20"/>
    </w:rPr>
  </w:style>
  <w:style w:type="character" w:styleId="CommentReference">
    <w:name w:val="annotation reference"/>
    <w:basedOn w:val="DefaultParagraphFont"/>
    <w:uiPriority w:val="99"/>
    <w:semiHidden/>
    <w:unhideWhenUsed/>
    <w:rsid w:val="001502E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0220">
      <w:bodyDiv w:val="1"/>
      <w:marLeft w:val="0"/>
      <w:marRight w:val="0"/>
      <w:marTop w:val="0"/>
      <w:marBottom w:val="0"/>
      <w:divBdr>
        <w:top w:val="none" w:sz="0" w:space="0" w:color="auto"/>
        <w:left w:val="none" w:sz="0" w:space="0" w:color="auto"/>
        <w:bottom w:val="none" w:sz="0" w:space="0" w:color="auto"/>
        <w:right w:val="none" w:sz="0" w:space="0" w:color="auto"/>
      </w:divBdr>
    </w:div>
    <w:div w:id="264389966">
      <w:bodyDiv w:val="1"/>
      <w:marLeft w:val="0"/>
      <w:marRight w:val="0"/>
      <w:marTop w:val="0"/>
      <w:marBottom w:val="0"/>
      <w:divBdr>
        <w:top w:val="none" w:sz="0" w:space="0" w:color="auto"/>
        <w:left w:val="none" w:sz="0" w:space="0" w:color="auto"/>
        <w:bottom w:val="none" w:sz="0" w:space="0" w:color="auto"/>
        <w:right w:val="none" w:sz="0" w:space="0" w:color="auto"/>
      </w:divBdr>
    </w:div>
    <w:div w:id="409348656">
      <w:bodyDiv w:val="1"/>
      <w:marLeft w:val="0"/>
      <w:marRight w:val="0"/>
      <w:marTop w:val="0"/>
      <w:marBottom w:val="0"/>
      <w:divBdr>
        <w:top w:val="none" w:sz="0" w:space="0" w:color="auto"/>
        <w:left w:val="none" w:sz="0" w:space="0" w:color="auto"/>
        <w:bottom w:val="none" w:sz="0" w:space="0" w:color="auto"/>
        <w:right w:val="none" w:sz="0" w:space="0" w:color="auto"/>
      </w:divBdr>
    </w:div>
    <w:div w:id="677578374">
      <w:bodyDiv w:val="1"/>
      <w:marLeft w:val="0"/>
      <w:marRight w:val="0"/>
      <w:marTop w:val="0"/>
      <w:marBottom w:val="0"/>
      <w:divBdr>
        <w:top w:val="none" w:sz="0" w:space="0" w:color="auto"/>
        <w:left w:val="none" w:sz="0" w:space="0" w:color="auto"/>
        <w:bottom w:val="none" w:sz="0" w:space="0" w:color="auto"/>
        <w:right w:val="none" w:sz="0" w:space="0" w:color="auto"/>
      </w:divBdr>
    </w:div>
    <w:div w:id="845634253">
      <w:bodyDiv w:val="1"/>
      <w:marLeft w:val="0"/>
      <w:marRight w:val="0"/>
      <w:marTop w:val="0"/>
      <w:marBottom w:val="0"/>
      <w:divBdr>
        <w:top w:val="none" w:sz="0" w:space="0" w:color="auto"/>
        <w:left w:val="none" w:sz="0" w:space="0" w:color="auto"/>
        <w:bottom w:val="none" w:sz="0" w:space="0" w:color="auto"/>
        <w:right w:val="none" w:sz="0" w:space="0" w:color="auto"/>
      </w:divBdr>
    </w:div>
    <w:div w:id="990643653">
      <w:bodyDiv w:val="1"/>
      <w:marLeft w:val="0"/>
      <w:marRight w:val="0"/>
      <w:marTop w:val="0"/>
      <w:marBottom w:val="0"/>
      <w:divBdr>
        <w:top w:val="none" w:sz="0" w:space="0" w:color="auto"/>
        <w:left w:val="none" w:sz="0" w:space="0" w:color="auto"/>
        <w:bottom w:val="none" w:sz="0" w:space="0" w:color="auto"/>
        <w:right w:val="none" w:sz="0" w:space="0" w:color="auto"/>
      </w:divBdr>
    </w:div>
    <w:div w:id="1182353622">
      <w:bodyDiv w:val="1"/>
      <w:marLeft w:val="0"/>
      <w:marRight w:val="0"/>
      <w:marTop w:val="0"/>
      <w:marBottom w:val="0"/>
      <w:divBdr>
        <w:top w:val="none" w:sz="0" w:space="0" w:color="auto"/>
        <w:left w:val="none" w:sz="0" w:space="0" w:color="auto"/>
        <w:bottom w:val="none" w:sz="0" w:space="0" w:color="auto"/>
        <w:right w:val="none" w:sz="0" w:space="0" w:color="auto"/>
      </w:divBdr>
    </w:div>
    <w:div w:id="1218473253">
      <w:bodyDiv w:val="1"/>
      <w:marLeft w:val="0"/>
      <w:marRight w:val="0"/>
      <w:marTop w:val="0"/>
      <w:marBottom w:val="0"/>
      <w:divBdr>
        <w:top w:val="none" w:sz="0" w:space="0" w:color="auto"/>
        <w:left w:val="none" w:sz="0" w:space="0" w:color="auto"/>
        <w:bottom w:val="none" w:sz="0" w:space="0" w:color="auto"/>
        <w:right w:val="none" w:sz="0" w:space="0" w:color="auto"/>
      </w:divBdr>
    </w:div>
    <w:div w:id="1277902925">
      <w:bodyDiv w:val="1"/>
      <w:marLeft w:val="0"/>
      <w:marRight w:val="0"/>
      <w:marTop w:val="0"/>
      <w:marBottom w:val="0"/>
      <w:divBdr>
        <w:top w:val="none" w:sz="0" w:space="0" w:color="auto"/>
        <w:left w:val="none" w:sz="0" w:space="0" w:color="auto"/>
        <w:bottom w:val="none" w:sz="0" w:space="0" w:color="auto"/>
        <w:right w:val="none" w:sz="0" w:space="0" w:color="auto"/>
      </w:divBdr>
    </w:div>
    <w:div w:id="1397514146">
      <w:bodyDiv w:val="1"/>
      <w:marLeft w:val="0"/>
      <w:marRight w:val="0"/>
      <w:marTop w:val="0"/>
      <w:marBottom w:val="0"/>
      <w:divBdr>
        <w:top w:val="none" w:sz="0" w:space="0" w:color="auto"/>
        <w:left w:val="none" w:sz="0" w:space="0" w:color="auto"/>
        <w:bottom w:val="none" w:sz="0" w:space="0" w:color="auto"/>
        <w:right w:val="none" w:sz="0" w:space="0" w:color="auto"/>
      </w:divBdr>
    </w:div>
    <w:div w:id="1648245892">
      <w:bodyDiv w:val="1"/>
      <w:marLeft w:val="0"/>
      <w:marRight w:val="0"/>
      <w:marTop w:val="0"/>
      <w:marBottom w:val="0"/>
      <w:divBdr>
        <w:top w:val="none" w:sz="0" w:space="0" w:color="auto"/>
        <w:left w:val="none" w:sz="0" w:space="0" w:color="auto"/>
        <w:bottom w:val="none" w:sz="0" w:space="0" w:color="auto"/>
        <w:right w:val="none" w:sz="0" w:space="0" w:color="auto"/>
      </w:divBdr>
    </w:div>
    <w:div w:id="170401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ics.scot/publications/our-performance/annual-reports-financial-statements/annual-report-2023-2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scotlandontap.gov.uk/" TargetMode="External"/><Relationship Id="rId1" Type="http://schemas.openxmlformats.org/officeDocument/2006/relationships/hyperlink" Target="https://wics.sco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F34CA959ADCD3B48868047D93A75FF32" ma:contentTypeVersion="25" ma:contentTypeDescription="Create a new document." ma:contentTypeScope="" ma:versionID="5937ba8831a604cadcec82ed3d534f0a">
  <xsd:schema xmlns:xsd="http://www.w3.org/2001/XMLSchema" xmlns:xs="http://www.w3.org/2001/XMLSchema" xmlns:p="http://schemas.microsoft.com/office/2006/metadata/properties" xmlns:ns1="http://schemas.microsoft.com/sharepoint/v3" xmlns:ns2="e1d9cb2f-0b9c-4b6f-8c88-d7cc9ca89a94" xmlns:ns3="65b6d800-2dda-48d6-88d8-9e2b35e6f7ea" targetNamespace="http://schemas.microsoft.com/office/2006/metadata/properties" ma:root="true" ma:fieldsID="6adba295da8b38000e0c39c78920e8d8" ns1:_="" ns2:_="" ns3:_="">
    <xsd:import namespace="http://schemas.microsoft.com/sharepoint/v3"/>
    <xsd:import namespace="e1d9cb2f-0b9c-4b6f-8c88-d7cc9ca89a94"/>
    <xsd:import namespace="65b6d800-2dda-48d6-88d8-9e2b35e6f7ea"/>
    <xsd:element name="properties">
      <xsd:complexType>
        <xsd:sequence>
          <xsd:element name="documentManagement">
            <xsd:complexType>
              <xsd:all>
                <xsd:element ref="ns2:o49a6551a5174fd091773af0de7dca61" minOccurs="0"/>
                <xsd:element ref="ns3:TaxCatchAll" minOccurs="0"/>
                <xsd:element ref="ns3:nb8d4ac56d8e4f3eab60cf43dc4a8542"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cb2f-0b9c-4b6f-8c88-d7cc9ca89a94" elementFormDefault="qualified">
    <xsd:import namespace="http://schemas.microsoft.com/office/2006/documentManagement/types"/>
    <xsd:import namespace="http://schemas.microsoft.com/office/infopath/2007/PartnerControls"/>
    <xsd:element name="o49a6551a5174fd091773af0de7dca61" ma:index="9" nillable="true" ma:taxonomy="true" ma:internalName="o49a6551a5174fd091773af0de7dca61" ma:taxonomyFieldName="Governance_x0020_Area" ma:displayName="Governance Area" ma:indexed="true" ma:default="" ma:fieldId="{849a6551-a517-4fd0-9177-3af0de7dca61}" ma:sspId="f924a736-b285-4c68-8cdb-5ccf3ff341b6" ma:termSetId="8f3c1e7a-6c9e-4568-9ff1-912999fe9949"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f924a736-b285-4c68-8cdb-5ccf3ff341b6"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b6d800-2dda-48d6-88d8-9e2b35e6f7ea"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08503f4a-e7b5-4e8b-9a1b-011360948be7}" ma:internalName="TaxCatchAll" ma:showField="CatchAllData" ma:web="65b6d800-2dda-48d6-88d8-9e2b35e6f7ea">
      <xsd:complexType>
        <xsd:complexContent>
          <xsd:extension base="dms:MultiChoiceLookup">
            <xsd:sequence>
              <xsd:element name="Value" type="dms:Lookup" maxOccurs="unbounded" minOccurs="0" nillable="true"/>
            </xsd:sequence>
          </xsd:extension>
        </xsd:complexContent>
      </xsd:complexType>
    </xsd:element>
    <xsd:element name="nb8d4ac56d8e4f3eab60cf43dc4a8542" ma:index="12" nillable="true" ma:taxonomy="true" ma:internalName="nb8d4ac56d8e4f3eab60cf43dc4a8542" ma:taxonomyFieldName="Financial_x0020_Year" ma:displayName="Financial Year" ma:indexed="true" ma:default="" ma:fieldId="{7b8d4ac5-6d8e-4f3e-ab60-cf43dc4a8542}"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5b6d800-2dda-48d6-88d8-9e2b35e6f7ea" xsi:nil="true"/>
    <lcf76f155ced4ddcb4097134ff3c332f xmlns="e1d9cb2f-0b9c-4b6f-8c88-d7cc9ca89a94">
      <Terms xmlns="http://schemas.microsoft.com/office/infopath/2007/PartnerControls"/>
    </lcf76f155ced4ddcb4097134ff3c332f>
    <o49a6551a5174fd091773af0de7dca61 xmlns="e1d9cb2f-0b9c-4b6f-8c88-d7cc9ca89a94">
      <Terms xmlns="http://schemas.microsoft.com/office/infopath/2007/PartnerControls"/>
    </o49a6551a5174fd091773af0de7dca61>
    <nb8d4ac56d8e4f3eab60cf43dc4a8542 xmlns="65b6d800-2dda-48d6-88d8-9e2b35e6f7ea">
      <Terms xmlns="http://schemas.microsoft.com/office/infopath/2007/PartnerControls"/>
    </nb8d4ac56d8e4f3eab60cf43dc4a8542>
  </documentManagement>
</p:properties>
</file>

<file path=customXml/itemProps1.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2.xml><?xml version="1.0" encoding="utf-8"?>
<ds:datastoreItem xmlns:ds="http://schemas.openxmlformats.org/officeDocument/2006/customXml" ds:itemID="{71B08183-A337-48E7-94F9-D0CCA5789F05}">
  <ds:schemaRefs>
    <ds:schemaRef ds:uri="http://schemas.microsoft.com/office/2006/metadata/customXsn"/>
  </ds:schemaRefs>
</ds:datastoreItem>
</file>

<file path=customXml/itemProps3.xml><?xml version="1.0" encoding="utf-8"?>
<ds:datastoreItem xmlns:ds="http://schemas.openxmlformats.org/officeDocument/2006/customXml" ds:itemID="{A8797104-7832-4086-8D92-65F3C493B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9cb2f-0b9c-4b6f-8c88-d7cc9ca89a94"/>
    <ds:schemaRef ds:uri="65b6d800-2dda-48d6-88d8-9e2b35e6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5.xml><?xml version="1.0" encoding="utf-8"?>
<ds:datastoreItem xmlns:ds="http://schemas.openxmlformats.org/officeDocument/2006/customXml" ds:itemID="{0AC3E646-8182-49B4-82B4-53A1FA361D11}">
  <ds:schemaRefs>
    <ds:schemaRef ds:uri="http://schemas.microsoft.com/office/2006/metadata/properties"/>
    <ds:schemaRef ds:uri="http://schemas.microsoft.com/office/infopath/2007/PartnerControls"/>
    <ds:schemaRef ds:uri="http://schemas.microsoft.com/sharepoint/v3"/>
    <ds:schemaRef ds:uri="65b6d800-2dda-48d6-88d8-9e2b35e6f7ea"/>
    <ds:schemaRef ds:uri="e1d9cb2f-0b9c-4b6f-8c88-d7cc9ca89a94"/>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1971</Words>
  <Characters>11971</Characters>
  <Application>Microsoft Office Word</Application>
  <DocSecurity>0</DocSecurity>
  <Lines>362</Lines>
  <Paragraphs>214</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13728</CharactersWithSpaces>
  <SharedDoc>false</SharedDoc>
  <HLinks>
    <vt:vector size="78" baseType="variant">
      <vt:variant>
        <vt:i4>2031665</vt:i4>
      </vt:variant>
      <vt:variant>
        <vt:i4>62</vt:i4>
      </vt:variant>
      <vt:variant>
        <vt:i4>0</vt:i4>
      </vt:variant>
      <vt:variant>
        <vt:i4>5</vt:i4>
      </vt:variant>
      <vt:variant>
        <vt:lpwstr/>
      </vt:variant>
      <vt:variant>
        <vt:lpwstr>_Toc184223610</vt:lpwstr>
      </vt:variant>
      <vt:variant>
        <vt:i4>1966129</vt:i4>
      </vt:variant>
      <vt:variant>
        <vt:i4>56</vt:i4>
      </vt:variant>
      <vt:variant>
        <vt:i4>0</vt:i4>
      </vt:variant>
      <vt:variant>
        <vt:i4>5</vt:i4>
      </vt:variant>
      <vt:variant>
        <vt:lpwstr/>
      </vt:variant>
      <vt:variant>
        <vt:lpwstr>_Toc184223609</vt:lpwstr>
      </vt:variant>
      <vt:variant>
        <vt:i4>1966129</vt:i4>
      </vt:variant>
      <vt:variant>
        <vt:i4>50</vt:i4>
      </vt:variant>
      <vt:variant>
        <vt:i4>0</vt:i4>
      </vt:variant>
      <vt:variant>
        <vt:i4>5</vt:i4>
      </vt:variant>
      <vt:variant>
        <vt:lpwstr/>
      </vt:variant>
      <vt:variant>
        <vt:lpwstr>_Toc184223608</vt:lpwstr>
      </vt:variant>
      <vt:variant>
        <vt:i4>1966129</vt:i4>
      </vt:variant>
      <vt:variant>
        <vt:i4>44</vt:i4>
      </vt:variant>
      <vt:variant>
        <vt:i4>0</vt:i4>
      </vt:variant>
      <vt:variant>
        <vt:i4>5</vt:i4>
      </vt:variant>
      <vt:variant>
        <vt:lpwstr/>
      </vt:variant>
      <vt:variant>
        <vt:lpwstr>_Toc184223607</vt:lpwstr>
      </vt:variant>
      <vt:variant>
        <vt:i4>1966129</vt:i4>
      </vt:variant>
      <vt:variant>
        <vt:i4>38</vt:i4>
      </vt:variant>
      <vt:variant>
        <vt:i4>0</vt:i4>
      </vt:variant>
      <vt:variant>
        <vt:i4>5</vt:i4>
      </vt:variant>
      <vt:variant>
        <vt:lpwstr/>
      </vt:variant>
      <vt:variant>
        <vt:lpwstr>_Toc184223606</vt:lpwstr>
      </vt:variant>
      <vt:variant>
        <vt:i4>1966129</vt:i4>
      </vt:variant>
      <vt:variant>
        <vt:i4>32</vt:i4>
      </vt:variant>
      <vt:variant>
        <vt:i4>0</vt:i4>
      </vt:variant>
      <vt:variant>
        <vt:i4>5</vt:i4>
      </vt:variant>
      <vt:variant>
        <vt:lpwstr/>
      </vt:variant>
      <vt:variant>
        <vt:lpwstr>_Toc184223605</vt:lpwstr>
      </vt:variant>
      <vt:variant>
        <vt:i4>1966129</vt:i4>
      </vt:variant>
      <vt:variant>
        <vt:i4>26</vt:i4>
      </vt:variant>
      <vt:variant>
        <vt:i4>0</vt:i4>
      </vt:variant>
      <vt:variant>
        <vt:i4>5</vt:i4>
      </vt:variant>
      <vt:variant>
        <vt:lpwstr/>
      </vt:variant>
      <vt:variant>
        <vt:lpwstr>_Toc184223604</vt:lpwstr>
      </vt:variant>
      <vt:variant>
        <vt:i4>1966129</vt:i4>
      </vt:variant>
      <vt:variant>
        <vt:i4>20</vt:i4>
      </vt:variant>
      <vt:variant>
        <vt:i4>0</vt:i4>
      </vt:variant>
      <vt:variant>
        <vt:i4>5</vt:i4>
      </vt:variant>
      <vt:variant>
        <vt:lpwstr/>
      </vt:variant>
      <vt:variant>
        <vt:lpwstr>_Toc184223603</vt:lpwstr>
      </vt:variant>
      <vt:variant>
        <vt:i4>1966129</vt:i4>
      </vt:variant>
      <vt:variant>
        <vt:i4>14</vt:i4>
      </vt:variant>
      <vt:variant>
        <vt:i4>0</vt:i4>
      </vt:variant>
      <vt:variant>
        <vt:i4>5</vt:i4>
      </vt:variant>
      <vt:variant>
        <vt:lpwstr/>
      </vt:variant>
      <vt:variant>
        <vt:lpwstr>_Toc184223601</vt:lpwstr>
      </vt:variant>
      <vt:variant>
        <vt:i4>1966129</vt:i4>
      </vt:variant>
      <vt:variant>
        <vt:i4>8</vt:i4>
      </vt:variant>
      <vt:variant>
        <vt:i4>0</vt:i4>
      </vt:variant>
      <vt:variant>
        <vt:i4>5</vt:i4>
      </vt:variant>
      <vt:variant>
        <vt:lpwstr/>
      </vt:variant>
      <vt:variant>
        <vt:lpwstr>_Toc184223600</vt:lpwstr>
      </vt:variant>
      <vt:variant>
        <vt:i4>1507378</vt:i4>
      </vt:variant>
      <vt:variant>
        <vt:i4>2</vt:i4>
      </vt:variant>
      <vt:variant>
        <vt:i4>0</vt:i4>
      </vt:variant>
      <vt:variant>
        <vt:i4>5</vt:i4>
      </vt:variant>
      <vt:variant>
        <vt:lpwstr/>
      </vt:variant>
      <vt:variant>
        <vt:lpwstr>_Toc184223599</vt:lpwstr>
      </vt:variant>
      <vt:variant>
        <vt:i4>5308497</vt:i4>
      </vt:variant>
      <vt:variant>
        <vt:i4>3</vt:i4>
      </vt:variant>
      <vt:variant>
        <vt:i4>0</vt:i4>
      </vt:variant>
      <vt:variant>
        <vt:i4>5</vt:i4>
      </vt:variant>
      <vt:variant>
        <vt:lpwstr>https://www.scotlandontap.gov.uk/</vt:lpwstr>
      </vt:variant>
      <vt:variant>
        <vt:lpwstr/>
      </vt:variant>
      <vt:variant>
        <vt:i4>3670125</vt:i4>
      </vt:variant>
      <vt:variant>
        <vt:i4>0</vt:i4>
      </vt:variant>
      <vt:variant>
        <vt:i4>0</vt:i4>
      </vt:variant>
      <vt:variant>
        <vt:i4>5</vt:i4>
      </vt:variant>
      <vt:variant>
        <vt:lpwstr>https://wics.scot/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WICS_Proposal_20210729</dc:title>
  <dc:subject/>
  <dc:creator>Debra  Wheelwright</dc:creator>
  <cp:keywords/>
  <dc:description/>
  <cp:lastModifiedBy>Shona Coan</cp:lastModifiedBy>
  <cp:revision>208</cp:revision>
  <dcterms:created xsi:type="dcterms:W3CDTF">2023-07-27T18:59:00Z</dcterms:created>
  <dcterms:modified xsi:type="dcterms:W3CDTF">2024-12-10T16:15:00Z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0x010100F34CA959ADCD3B48868047D93A75FF32</vt:lpwstr>
  </property>
  <property fmtid="{D5CDD505-2E9C-101B-9397-08002B2CF9AE}" pid="3" name="Order">
    <vt:r8>1666000</vt:r8>
  </property>
  <property fmtid="{D5CDD505-2E9C-101B-9397-08002B2CF9AE}" pid="4" name="Staff Admin Area">
    <vt:lpwstr/>
  </property>
  <property fmtid="{D5CDD505-2E9C-101B-9397-08002B2CF9AE}" pid="5" name="MediaServiceImageTags">
    <vt:lpwstr/>
  </property>
  <property fmtid="{D5CDD505-2E9C-101B-9397-08002B2CF9AE}" pid="6" name="Reports Area">
    <vt:lpwstr/>
  </property>
  <property fmtid="{D5CDD505-2E9C-101B-9397-08002B2CF9AE}" pid="7" name="f8222d92f0c14f9899aeb3bb6dd59f2b">
    <vt:lpwstr/>
  </property>
  <property fmtid="{D5CDD505-2E9C-101B-9397-08002B2CF9AE}" pid="8" name="Financial Year">
    <vt:lpwstr/>
  </property>
  <property fmtid="{D5CDD505-2E9C-101B-9397-08002B2CF9AE}" pid="9" name="Review_x0020_Period">
    <vt:lpwstr/>
  </property>
  <property fmtid="{D5CDD505-2E9C-101B-9397-08002B2CF9AE}" pid="10" name="Review Period">
    <vt:lpwstr/>
  </property>
  <property fmtid="{D5CDD505-2E9C-101B-9397-08002B2CF9AE}" pid="11" name="Financial_x0020_Year">
    <vt:lpwstr/>
  </property>
  <property fmtid="{D5CDD505-2E9C-101B-9397-08002B2CF9AE}" pid="12" name="Reports_x0020_Area">
    <vt:lpwstr/>
  </property>
  <property fmtid="{D5CDD505-2E9C-101B-9397-08002B2CF9AE}" pid="13" name="Governance_x0020_Area">
    <vt:lpwstr/>
  </property>
  <property fmtid="{D5CDD505-2E9C-101B-9397-08002B2CF9AE}" pid="14" name="Governance Area">
    <vt:lpwstr/>
  </property>
</Properties>
</file>